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591" w:rsidRPr="00C21129" w:rsidRDefault="00303591" w:rsidP="00303591">
      <w:pPr>
        <w:pStyle w:val="Header"/>
        <w:tabs>
          <w:tab w:val="right" w:pos="9639"/>
        </w:tabs>
        <w:jc w:val="both"/>
        <w:rPr>
          <w:rFonts w:cs="Courier New"/>
          <w:sz w:val="24"/>
          <w:szCs w:val="24"/>
          <w:lang w:val="de-DE"/>
        </w:rPr>
      </w:pPr>
      <w:r w:rsidRPr="00C21129">
        <w:rPr>
          <w:rFonts w:cs="Courier New"/>
          <w:sz w:val="24"/>
          <w:szCs w:val="24"/>
          <w:lang w:val="de-DE"/>
        </w:rPr>
        <w:t>3GPP TSG-RAN WG4 #</w:t>
      </w:r>
      <w:r w:rsidR="00C21129" w:rsidRPr="00C21129">
        <w:rPr>
          <w:rFonts w:cs="Courier New"/>
          <w:sz w:val="24"/>
          <w:szCs w:val="24"/>
          <w:lang w:val="de-DE"/>
        </w:rPr>
        <w:t>86bis</w:t>
      </w:r>
      <w:r w:rsidRPr="00C21129">
        <w:rPr>
          <w:rFonts w:cs="Courier New"/>
          <w:sz w:val="24"/>
          <w:szCs w:val="24"/>
          <w:lang w:val="de-DE"/>
        </w:rPr>
        <w:tab/>
      </w:r>
      <w:r w:rsidR="00C05F13" w:rsidRPr="00C05F13">
        <w:rPr>
          <w:rFonts w:cs="Courier New"/>
          <w:sz w:val="24"/>
          <w:szCs w:val="24"/>
          <w:lang w:val="de-DE"/>
        </w:rPr>
        <w:t>R4-1805669</w:t>
      </w:r>
    </w:p>
    <w:p w:rsidR="00410190" w:rsidRDefault="00410190" w:rsidP="00410190">
      <w:pPr>
        <w:pStyle w:val="Header"/>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rsidR="00303591" w:rsidRPr="00796C7A" w:rsidRDefault="00303591" w:rsidP="00303591">
      <w:pPr>
        <w:pStyle w:val="Header"/>
        <w:jc w:val="both"/>
        <w:rPr>
          <w:rFonts w:cs="Arial"/>
          <w:b w:val="0"/>
        </w:rPr>
      </w:pPr>
    </w:p>
    <w:p w:rsidR="009C1F3F" w:rsidRPr="00796C7A" w:rsidRDefault="009C1F3F" w:rsidP="00AC033F">
      <w:pPr>
        <w:pStyle w:val="Header"/>
        <w:jc w:val="both"/>
        <w:rPr>
          <w:rFonts w:cs="Arial"/>
          <w:b w:val="0"/>
        </w:rPr>
      </w:pPr>
    </w:p>
    <w:p w:rsidR="00E43D4D" w:rsidRPr="00796C7A" w:rsidRDefault="00E43D4D" w:rsidP="00AC033F">
      <w:pPr>
        <w:pStyle w:val="Footer"/>
        <w:jc w:val="both"/>
      </w:pPr>
    </w:p>
    <w:p w:rsidR="00E43D4D" w:rsidRPr="00796C7A" w:rsidRDefault="00E43D4D" w:rsidP="00AC033F">
      <w:pPr>
        <w:tabs>
          <w:tab w:val="left" w:pos="1985"/>
        </w:tabs>
        <w:jc w:val="both"/>
        <w:rPr>
          <w:rFonts w:ascii="Arial" w:hAnsi="Arial"/>
          <w:sz w:val="24"/>
          <w:lang w:val="en-US"/>
        </w:rPr>
      </w:pPr>
      <w:r w:rsidRPr="00796C7A">
        <w:rPr>
          <w:rFonts w:ascii="Arial" w:hAnsi="Arial"/>
          <w:b/>
          <w:sz w:val="24"/>
          <w:lang w:val="en-US"/>
        </w:rPr>
        <w:t>Agenda item:</w:t>
      </w:r>
      <w:r w:rsidRPr="00796C7A">
        <w:rPr>
          <w:rFonts w:ascii="Arial" w:hAnsi="Arial"/>
          <w:sz w:val="24"/>
          <w:lang w:val="en-US"/>
        </w:rPr>
        <w:tab/>
      </w:r>
      <w:r w:rsidR="00C21129" w:rsidRPr="00796C7A">
        <w:rPr>
          <w:rFonts w:ascii="Arial" w:hAnsi="Arial"/>
          <w:sz w:val="24"/>
          <w:lang w:val="en-US"/>
        </w:rPr>
        <w:t>7.4.8.3.2</w:t>
      </w:r>
      <w:bookmarkStart w:id="0" w:name="_GoBack"/>
      <w:bookmarkEnd w:id="0"/>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510533661"/>
      <w:r w:rsidR="002D2099" w:rsidRPr="002D2099">
        <w:rPr>
          <w:rFonts w:ascii="Arial" w:hAnsi="Arial"/>
          <w:sz w:val="24"/>
          <w:lang w:val="en-US"/>
        </w:rPr>
        <w:t>Impact of spherical coverage requirement to NR network performance</w:t>
      </w:r>
      <w:r w:rsidR="002D2099" w:rsidRPr="00C21129" w:rsidDel="002D2099">
        <w:rPr>
          <w:rFonts w:ascii="Arial" w:hAnsi="Arial"/>
          <w:sz w:val="24"/>
          <w:lang w:val="en-US"/>
        </w:rPr>
        <w:t xml:space="preserve"> </w:t>
      </w:r>
      <w:bookmarkEnd w:id="1"/>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95C84">
        <w:rPr>
          <w:rFonts w:ascii="Arial" w:hAnsi="Arial"/>
          <w:sz w:val="24"/>
          <w:lang w:val="en-US"/>
        </w:rPr>
        <w:t>Approval</w:t>
      </w:r>
    </w:p>
    <w:p w:rsidR="005B6C6D" w:rsidRPr="005B6C6D" w:rsidRDefault="000E0602" w:rsidP="005B6C6D">
      <w:pPr>
        <w:pStyle w:val="Heading1"/>
        <w:tabs>
          <w:tab w:val="clear" w:pos="432"/>
          <w:tab w:val="num" w:pos="522"/>
        </w:tabs>
        <w:ind w:left="522" w:hanging="522"/>
        <w:jc w:val="both"/>
        <w:rPr>
          <w:lang w:val="en-US"/>
        </w:rPr>
      </w:pPr>
      <w:bookmarkStart w:id="2" w:name="_Ref463014664"/>
      <w:r>
        <w:rPr>
          <w:lang w:val="en-US"/>
        </w:rPr>
        <w:t>Introduction</w:t>
      </w:r>
      <w:bookmarkEnd w:id="2"/>
    </w:p>
    <w:p w:rsidR="006F6D54" w:rsidRDefault="006F6D54" w:rsidP="003B575B">
      <w:pPr>
        <w:jc w:val="both"/>
        <w:rPr>
          <w:rFonts w:cs="v5.0.0"/>
        </w:rPr>
      </w:pPr>
      <w:r>
        <w:rPr>
          <w:rFonts w:cs="v5.0.0"/>
        </w:rPr>
        <w:t>The UE power class definition for frequency range 2 (FR2) NR has not been finalized yet. There are two major points which are still under discussion: the minimum peak EIRP and spherical coverage requirements.</w:t>
      </w:r>
    </w:p>
    <w:p w:rsidR="003B575B" w:rsidRDefault="006F6D54" w:rsidP="003B575B">
      <w:pPr>
        <w:jc w:val="both"/>
        <w:rPr>
          <w:rFonts w:cs="v5.0.0"/>
        </w:rPr>
      </w:pPr>
      <w:r>
        <w:rPr>
          <w:rFonts w:cs="v5.0.0"/>
        </w:rPr>
        <w:t>Regarding the spherical coverage, i</w:t>
      </w:r>
      <w:r w:rsidR="003B575B">
        <w:rPr>
          <w:rFonts w:cs="v5.0.0"/>
        </w:rPr>
        <w:t xml:space="preserve">n RAN4 </w:t>
      </w:r>
      <w:r w:rsidR="001937ED">
        <w:rPr>
          <w:rFonts w:cs="v5.0.0"/>
        </w:rPr>
        <w:t>#86</w:t>
      </w:r>
      <w:r w:rsidR="0018473B">
        <w:rPr>
          <w:rFonts w:cs="v5.0.0"/>
        </w:rPr>
        <w:t xml:space="preserve"> meeting</w:t>
      </w:r>
      <w:r w:rsidR="00532805">
        <w:rPr>
          <w:rFonts w:cs="v5.0.0"/>
        </w:rPr>
        <w:t xml:space="preserve"> </w:t>
      </w:r>
      <w:r w:rsidR="003B575B">
        <w:rPr>
          <w:rFonts w:cs="v5.0.0"/>
        </w:rPr>
        <w:t xml:space="preserve">a Way Forward (WF) </w:t>
      </w:r>
      <w:r>
        <w:rPr>
          <w:rFonts w:cs="v5.0.0"/>
        </w:rPr>
        <w:t>was</w:t>
      </w:r>
      <w:r w:rsidR="003B575B">
        <w:rPr>
          <w:rFonts w:cs="v5.0.0"/>
        </w:rPr>
        <w:t xml:space="preserve"> approved</w:t>
      </w:r>
      <w:r w:rsidR="00532805">
        <w:rPr>
          <w:rFonts w:cs="v5.0.0"/>
        </w:rPr>
        <w:t xml:space="preserve"> </w:t>
      </w:r>
      <w:r>
        <w:rPr>
          <w:rFonts w:cs="v5.0.0"/>
        </w:rPr>
        <w:t>defining the main assumptions to be adopted for the evaluation of this requirement and proposing</w:t>
      </w:r>
      <w:r w:rsidR="003B575B">
        <w:rPr>
          <w:rFonts w:cs="v5.0.0"/>
        </w:rPr>
        <w:t xml:space="preserve"> a specific action plan to finalize the requirement</w:t>
      </w:r>
      <w:r w:rsidR="00EE63FC">
        <w:rPr>
          <w:rFonts w:cs="v5.0.0"/>
        </w:rPr>
        <w:t xml:space="preserve"> </w:t>
      </w:r>
      <w:r w:rsidR="00EE63FC">
        <w:rPr>
          <w:rFonts w:cs="v5.0.0"/>
        </w:rPr>
        <w:fldChar w:fldCharType="begin"/>
      </w:r>
      <w:r w:rsidR="00EE63FC">
        <w:rPr>
          <w:rFonts w:cs="v5.0.0"/>
        </w:rPr>
        <w:instrText xml:space="preserve"> REF _Ref503262415 \r \h </w:instrText>
      </w:r>
      <w:r w:rsidR="00EE63FC">
        <w:rPr>
          <w:rFonts w:cs="v5.0.0"/>
        </w:rPr>
      </w:r>
      <w:r w:rsidR="00EE63FC">
        <w:rPr>
          <w:rFonts w:cs="v5.0.0"/>
        </w:rPr>
        <w:fldChar w:fldCharType="separate"/>
      </w:r>
      <w:r w:rsidR="00516FE0">
        <w:rPr>
          <w:rFonts w:cs="v5.0.0"/>
        </w:rPr>
        <w:t>[1]</w:t>
      </w:r>
      <w:r w:rsidR="00EE63FC">
        <w:rPr>
          <w:rFonts w:cs="v5.0.0"/>
        </w:rPr>
        <w:fldChar w:fldCharType="end"/>
      </w:r>
      <w:r w:rsidR="003B575B">
        <w:rPr>
          <w:rFonts w:cs="v5.0.0"/>
        </w:rPr>
        <w:t>.</w:t>
      </w:r>
    </w:p>
    <w:p w:rsidR="003B575B" w:rsidRDefault="003B575B" w:rsidP="003B575B">
      <w:pPr>
        <w:jc w:val="both"/>
        <w:rPr>
          <w:rFonts w:cs="v5.0.0"/>
        </w:rPr>
      </w:pPr>
      <w:r>
        <w:rPr>
          <w:rFonts w:cs="v5.0.0"/>
        </w:rPr>
        <w:t>In this contribution, we provide a set of simulation results showing the impact of spherical coverage on the overall NR DL and UL performance in 28GHz band. The final goal of this paper is to provide information useful to finalize the spherical</w:t>
      </w:r>
      <w:r w:rsidR="00B06A1C">
        <w:rPr>
          <w:rFonts w:cs="v5.0.0"/>
        </w:rPr>
        <w:t xml:space="preserve"> coverage</w:t>
      </w:r>
      <w:r>
        <w:rPr>
          <w:rFonts w:cs="v5.0.0"/>
        </w:rPr>
        <w:t xml:space="preserve"> requirement for the NR UE power class definition. </w:t>
      </w:r>
    </w:p>
    <w:p w:rsidR="00781440" w:rsidRDefault="00981D0D" w:rsidP="00AC033F">
      <w:pPr>
        <w:pStyle w:val="Heading1"/>
        <w:tabs>
          <w:tab w:val="clear" w:pos="432"/>
          <w:tab w:val="num" w:pos="522"/>
        </w:tabs>
        <w:ind w:left="522" w:hanging="522"/>
        <w:jc w:val="both"/>
        <w:rPr>
          <w:lang w:val="en-US"/>
        </w:rPr>
      </w:pPr>
      <w:r>
        <w:rPr>
          <w:lang w:val="en-US"/>
        </w:rPr>
        <w:t>Discussion</w:t>
      </w:r>
    </w:p>
    <w:p w:rsidR="00F56D5C" w:rsidRDefault="003F17A2" w:rsidP="003B575B">
      <w:pPr>
        <w:jc w:val="both"/>
        <w:rPr>
          <w:rFonts w:cs="v5.0.0"/>
        </w:rPr>
      </w:pPr>
      <w:r>
        <w:rPr>
          <w:rFonts w:cs="v5.0.0"/>
        </w:rPr>
        <w:t xml:space="preserve">In this </w:t>
      </w:r>
      <w:r w:rsidR="006F6D54">
        <w:rPr>
          <w:rFonts w:cs="v5.0.0"/>
        </w:rPr>
        <w:t xml:space="preserve">paper </w:t>
      </w:r>
      <w:r>
        <w:rPr>
          <w:rFonts w:cs="v5.0.0"/>
        </w:rPr>
        <w:t xml:space="preserve">we will focus on the NR network performance impact of </w:t>
      </w:r>
      <w:r w:rsidR="000C1DD5">
        <w:rPr>
          <w:rFonts w:cs="v5.0.0"/>
        </w:rPr>
        <w:t xml:space="preserve">two </w:t>
      </w:r>
      <w:r>
        <w:rPr>
          <w:rFonts w:cs="v5.0.0"/>
        </w:rPr>
        <w:t xml:space="preserve">different UE panel configurations defined by specific CDFs </w:t>
      </w:r>
      <w:r w:rsidR="006F6D54">
        <w:rPr>
          <w:rFonts w:cs="v5.0.0"/>
        </w:rPr>
        <w:t xml:space="preserve">of antenna gains </w:t>
      </w:r>
      <w:r>
        <w:rPr>
          <w:rFonts w:cs="v5.0.0"/>
        </w:rPr>
        <w:t>over the sphere</w:t>
      </w:r>
      <w:r w:rsidR="00776A7A">
        <w:rPr>
          <w:rFonts w:cs="v5.0.0"/>
        </w:rPr>
        <w:t xml:space="preserve">. </w:t>
      </w:r>
      <w:r w:rsidR="00EE63FC">
        <w:rPr>
          <w:rFonts w:cs="v5.0.0"/>
        </w:rPr>
        <w:t>This contribution is an extension of our previous work</w:t>
      </w:r>
      <w:r w:rsidR="00F56D5C">
        <w:rPr>
          <w:rFonts w:cs="v5.0.0"/>
        </w:rPr>
        <w:t xml:space="preserve"> </w:t>
      </w:r>
      <w:r w:rsidR="00EE63FC">
        <w:rPr>
          <w:rFonts w:cs="v5.0.0"/>
        </w:rPr>
        <w:t xml:space="preserve">in </w:t>
      </w:r>
      <w:r w:rsidR="0082785D">
        <w:rPr>
          <w:rFonts w:cs="v5.0.0"/>
        </w:rPr>
        <w:fldChar w:fldCharType="begin"/>
      </w:r>
      <w:r w:rsidR="0082785D">
        <w:rPr>
          <w:rFonts w:cs="v5.0.0"/>
        </w:rPr>
        <w:instrText xml:space="preserve"> REF _Ref506812131 \r \h </w:instrText>
      </w:r>
      <w:r w:rsidR="0082785D">
        <w:rPr>
          <w:rFonts w:cs="v5.0.0"/>
        </w:rPr>
      </w:r>
      <w:r w:rsidR="0082785D">
        <w:rPr>
          <w:rFonts w:cs="v5.0.0"/>
        </w:rPr>
        <w:fldChar w:fldCharType="separate"/>
      </w:r>
      <w:r w:rsidR="00516FE0">
        <w:rPr>
          <w:rFonts w:cs="v5.0.0"/>
        </w:rPr>
        <w:t>[2]</w:t>
      </w:r>
      <w:r w:rsidR="0082785D">
        <w:rPr>
          <w:rFonts w:cs="v5.0.0"/>
        </w:rPr>
        <w:fldChar w:fldCharType="end"/>
      </w:r>
      <w:r w:rsidR="001937ED">
        <w:rPr>
          <w:rFonts w:cs="v5.0.0"/>
        </w:rPr>
        <w:t xml:space="preserve"> modified in order to conform with the WF defined in </w:t>
      </w:r>
      <w:r w:rsidR="001937ED">
        <w:rPr>
          <w:rFonts w:cs="v5.0.0"/>
        </w:rPr>
        <w:fldChar w:fldCharType="begin"/>
      </w:r>
      <w:r w:rsidR="001937ED">
        <w:rPr>
          <w:rFonts w:cs="v5.0.0"/>
        </w:rPr>
        <w:instrText xml:space="preserve"> REF _Ref503262415 \n \h </w:instrText>
      </w:r>
      <w:r w:rsidR="001937ED">
        <w:rPr>
          <w:rFonts w:cs="v5.0.0"/>
        </w:rPr>
      </w:r>
      <w:r w:rsidR="001937ED">
        <w:rPr>
          <w:rFonts w:cs="v5.0.0"/>
        </w:rPr>
        <w:fldChar w:fldCharType="separate"/>
      </w:r>
      <w:r w:rsidR="00516FE0">
        <w:rPr>
          <w:rFonts w:cs="v5.0.0"/>
        </w:rPr>
        <w:t>[1]</w:t>
      </w:r>
      <w:r w:rsidR="001937ED">
        <w:rPr>
          <w:rFonts w:cs="v5.0.0"/>
        </w:rPr>
        <w:fldChar w:fldCharType="end"/>
      </w:r>
      <w:r w:rsidR="001937ED">
        <w:rPr>
          <w:rFonts w:cs="v5.0.0"/>
        </w:rPr>
        <w:t xml:space="preserve">. The CDF provided in </w:t>
      </w:r>
      <w:r w:rsidR="001937ED">
        <w:rPr>
          <w:rFonts w:cs="v5.0.0"/>
        </w:rPr>
        <w:fldChar w:fldCharType="begin"/>
      </w:r>
      <w:r w:rsidR="001937ED">
        <w:rPr>
          <w:rFonts w:cs="v5.0.0"/>
        </w:rPr>
        <w:instrText xml:space="preserve"> REF _Ref503776550 \n \h </w:instrText>
      </w:r>
      <w:r w:rsidR="001937ED">
        <w:rPr>
          <w:rFonts w:cs="v5.0.0"/>
        </w:rPr>
      </w:r>
      <w:r w:rsidR="001937ED">
        <w:rPr>
          <w:rFonts w:cs="v5.0.0"/>
        </w:rPr>
        <w:fldChar w:fldCharType="separate"/>
      </w:r>
      <w:r w:rsidR="00516FE0">
        <w:rPr>
          <w:rFonts w:cs="v5.0.0"/>
        </w:rPr>
        <w:t>[4]</w:t>
      </w:r>
      <w:r w:rsidR="001937ED">
        <w:rPr>
          <w:rFonts w:cs="v5.0.0"/>
        </w:rPr>
        <w:fldChar w:fldCharType="end"/>
      </w:r>
      <w:r w:rsidR="001937ED">
        <w:rPr>
          <w:rFonts w:cs="v5.0.0"/>
        </w:rPr>
        <w:t xml:space="preserve"> is taken as reference</w:t>
      </w:r>
      <w:r w:rsidR="00821900">
        <w:rPr>
          <w:rFonts w:cs="v5.0.0"/>
        </w:rPr>
        <w:t xml:space="preserve"> </w:t>
      </w:r>
      <w:r w:rsidR="001937ED">
        <w:rPr>
          <w:rFonts w:cs="v5.0.0"/>
        </w:rPr>
        <w:t xml:space="preserve">with finite beam pointing directions </w:t>
      </w:r>
      <w:r w:rsidR="0058327E">
        <w:rPr>
          <w:rFonts w:cs="v5.0.0"/>
        </w:rPr>
        <w:t>for</w:t>
      </w:r>
      <w:r w:rsidR="00F56D5C">
        <w:rPr>
          <w:rFonts w:cs="v5.0.0"/>
        </w:rPr>
        <w:t xml:space="preserve"> each panel:</w:t>
      </w:r>
    </w:p>
    <w:p w:rsidR="00F56D5C" w:rsidRPr="00C21129" w:rsidRDefault="001831FD" w:rsidP="003B575B">
      <w:pPr>
        <w:jc w:val="both"/>
        <w:rPr>
          <w:rFonts w:cs="v5.0.0"/>
        </w:rPr>
      </w:pPr>
      <m:oMathPara>
        <m:oMath>
          <m:sSub>
            <m:sSubPr>
              <m:ctrlPr>
                <w:rPr>
                  <w:rFonts w:ascii="Cambria Math" w:hAnsi="Cambria Math" w:cs="v5.0.0"/>
                  <w:i/>
                </w:rPr>
              </m:ctrlPr>
            </m:sSubPr>
            <m:e>
              <m:r>
                <w:rPr>
                  <w:rFonts w:ascii="Cambria Math" w:hAnsi="Cambria Math" w:cs="v5.0.0"/>
                </w:rPr>
                <m:t>φ</m:t>
              </m:r>
            </m:e>
            <m:sub>
              <m:r>
                <w:rPr>
                  <w:rFonts w:ascii="Cambria Math" w:hAnsi="Cambria Math" w:cs="v5.0.0"/>
                </w:rPr>
                <m:t>target</m:t>
              </m:r>
            </m:sub>
          </m:sSub>
          <m:r>
            <w:rPr>
              <w:rFonts w:ascii="Cambria Math" w:hAnsi="Cambria Math" w:cs="v5.0.0"/>
            </w:rPr>
            <m:t>=</m:t>
          </m:r>
          <m:d>
            <m:dPr>
              <m:begChr m:val="["/>
              <m:endChr m:val="]"/>
              <m:ctrlPr>
                <w:rPr>
                  <w:rFonts w:ascii="Cambria Math" w:hAnsi="Cambria Math" w:cs="v5.0.0"/>
                  <w:i/>
                </w:rPr>
              </m:ctrlPr>
            </m:dPr>
            <m:e>
              <m:r>
                <w:rPr>
                  <w:rFonts w:ascii="Cambria Math" w:hAnsi="Cambria Math" w:cs="v5.0.0"/>
                </w:rPr>
                <m:t>-60-30 0 30 60</m:t>
              </m:r>
            </m:e>
          </m:d>
          <m:r>
            <w:rPr>
              <w:rFonts w:ascii="Cambria Math" w:hAnsi="Cambria Math" w:cs="v5.0.0"/>
            </w:rPr>
            <m:t>°,</m:t>
          </m:r>
        </m:oMath>
      </m:oMathPara>
    </w:p>
    <w:p w:rsidR="00F56D5C" w:rsidRPr="00A50336" w:rsidRDefault="001831FD" w:rsidP="00F56D5C">
      <w:pPr>
        <w:jc w:val="both"/>
        <w:rPr>
          <w:rFonts w:cs="v5.0.0"/>
        </w:rPr>
      </w:pPr>
      <m:oMathPara>
        <m:oMath>
          <m:sSub>
            <m:sSubPr>
              <m:ctrlPr>
                <w:rPr>
                  <w:rFonts w:ascii="Cambria Math" w:hAnsi="Cambria Math" w:cs="v5.0.0"/>
                  <w:i/>
                </w:rPr>
              </m:ctrlPr>
            </m:sSubPr>
            <m:e>
              <m:r>
                <w:rPr>
                  <w:rFonts w:ascii="Cambria Math" w:hAnsi="Cambria Math" w:cs="v5.0.0"/>
                </w:rPr>
                <m:t>θ</m:t>
              </m:r>
            </m:e>
            <m:sub>
              <m:r>
                <w:rPr>
                  <w:rFonts w:ascii="Cambria Math" w:hAnsi="Cambria Math" w:cs="v5.0.0"/>
                </w:rPr>
                <m:t>target</m:t>
              </m:r>
            </m:sub>
          </m:sSub>
          <m:r>
            <w:rPr>
              <w:rFonts w:ascii="Cambria Math" w:hAnsi="Cambria Math" w:cs="v5.0.0"/>
            </w:rPr>
            <m:t>=</m:t>
          </m:r>
          <m:d>
            <m:dPr>
              <m:begChr m:val="["/>
              <m:endChr m:val="]"/>
              <m:ctrlPr>
                <w:rPr>
                  <w:rFonts w:ascii="Cambria Math" w:hAnsi="Cambria Math" w:cs="v5.0.0"/>
                  <w:i/>
                </w:rPr>
              </m:ctrlPr>
            </m:dPr>
            <m:e>
              <m:r>
                <w:rPr>
                  <w:rFonts w:ascii="Cambria Math" w:hAnsi="Cambria Math" w:cs="v5.0.0"/>
                </w:rPr>
                <m:t>30 60 90 120 150</m:t>
              </m:r>
            </m:e>
          </m:d>
          <m:r>
            <w:rPr>
              <w:rFonts w:ascii="Cambria Math" w:hAnsi="Cambria Math" w:cs="v5.0.0"/>
            </w:rPr>
            <m:t>°,</m:t>
          </m:r>
        </m:oMath>
      </m:oMathPara>
    </w:p>
    <w:p w:rsidR="00F56D5C" w:rsidRDefault="00F56D5C" w:rsidP="003B575B">
      <w:pPr>
        <w:jc w:val="both"/>
        <w:rPr>
          <w:rFonts w:cs="v5.0.0"/>
        </w:rPr>
      </w:pPr>
      <w:r>
        <w:rPr>
          <w:rFonts w:cs="v5.0.0"/>
        </w:rPr>
        <w:t xml:space="preserve">for </w:t>
      </w:r>
      <m:oMath>
        <m:r>
          <w:rPr>
            <w:rFonts w:ascii="Cambria Math" w:hAnsi="Cambria Math" w:cs="v5.0.0"/>
          </w:rPr>
          <m:t>φ∈[-180°,180°]</m:t>
        </m:r>
      </m:oMath>
      <w:r>
        <w:rPr>
          <w:rFonts w:cs="v5.0.0"/>
        </w:rPr>
        <w:t xml:space="preserve"> and  </w:t>
      </w:r>
      <m:oMath>
        <m:r>
          <w:rPr>
            <w:rFonts w:ascii="Cambria Math" w:hAnsi="Cambria Math" w:cs="v5.0.0"/>
          </w:rPr>
          <m:t>θ∈[0,180°]</m:t>
        </m:r>
      </m:oMath>
      <w:r>
        <w:rPr>
          <w:rFonts w:cs="v5.0.0"/>
        </w:rPr>
        <w:t xml:space="preserve">. Panel boresight in local coordinates is at </w:t>
      </w:r>
      <m:oMath>
        <m:r>
          <w:rPr>
            <w:rFonts w:ascii="Cambria Math" w:hAnsi="Cambria Math" w:cs="v5.0.0"/>
          </w:rPr>
          <m:t>φ=0°</m:t>
        </m:r>
      </m:oMath>
      <w:r>
        <w:rPr>
          <w:rFonts w:cs="v5.0.0"/>
        </w:rPr>
        <w:t xml:space="preserve"> and </w:t>
      </w:r>
      <m:oMath>
        <m:r>
          <w:rPr>
            <w:rFonts w:ascii="Cambria Math" w:hAnsi="Cambria Math" w:cs="v5.0.0"/>
          </w:rPr>
          <m:t>θ=90°</m:t>
        </m:r>
      </m:oMath>
      <w:r>
        <w:rPr>
          <w:rFonts w:cs="v5.0.0"/>
        </w:rPr>
        <w:t>.</w:t>
      </w:r>
    </w:p>
    <w:p w:rsidR="00F56D5C" w:rsidRDefault="002F0C60" w:rsidP="003B575B">
      <w:pPr>
        <w:jc w:val="both"/>
        <w:rPr>
          <w:rFonts w:cs="v5.0.0"/>
        </w:rPr>
      </w:pPr>
      <w:r>
        <w:rPr>
          <w:rFonts w:cs="v5.0.0"/>
        </w:rPr>
        <w:t xml:space="preserve">To understand the impact of finite beamforming on network performance and coverage, we analysed the difference in UE antenna gain CDFs between ideal and finite pointing angles resolution. Such comparison is shown in </w:t>
      </w:r>
      <w:r w:rsidR="007E6FF2">
        <w:rPr>
          <w:rFonts w:cs="v5.0.0"/>
        </w:rPr>
        <w:fldChar w:fldCharType="begin"/>
      </w:r>
      <w:r w:rsidR="007E6FF2">
        <w:rPr>
          <w:rFonts w:cs="v5.0.0"/>
        </w:rPr>
        <w:instrText xml:space="preserve"> REF _Ref510545164 \h </w:instrText>
      </w:r>
      <w:r w:rsidR="007E6FF2">
        <w:rPr>
          <w:rFonts w:cs="v5.0.0"/>
        </w:rPr>
      </w:r>
      <w:r w:rsidR="007E6FF2">
        <w:rPr>
          <w:rFonts w:cs="v5.0.0"/>
        </w:rPr>
        <w:fldChar w:fldCharType="separate"/>
      </w:r>
      <w:r w:rsidR="00516FE0">
        <w:t xml:space="preserve">Figure </w:t>
      </w:r>
      <w:r w:rsidR="00516FE0">
        <w:rPr>
          <w:noProof/>
        </w:rPr>
        <w:t>1</w:t>
      </w:r>
      <w:r w:rsidR="007E6FF2">
        <w:rPr>
          <w:rFonts w:cs="v5.0.0"/>
        </w:rPr>
        <w:fldChar w:fldCharType="end"/>
      </w:r>
      <w:r w:rsidR="0058327E">
        <w:rPr>
          <w:rFonts w:cs="v5.0.0"/>
        </w:rPr>
        <w:t xml:space="preserve"> </w:t>
      </w:r>
      <w:r>
        <w:rPr>
          <w:rFonts w:cs="v5.0.0"/>
        </w:rPr>
        <w:t xml:space="preserve">where finite beamforming </w:t>
      </w:r>
      <w:r w:rsidR="0058327E">
        <w:rPr>
          <w:rFonts w:cs="v5.0.0"/>
        </w:rPr>
        <w:t>assume</w:t>
      </w:r>
      <w:r>
        <w:rPr>
          <w:rFonts w:cs="v5.0.0"/>
        </w:rPr>
        <w:t xml:space="preserve">s </w:t>
      </w:r>
      <w:r w:rsidR="0058327E">
        <w:rPr>
          <w:rFonts w:cs="v5.0.0"/>
        </w:rPr>
        <w:t>25 beams pointing at</w:t>
      </w:r>
      <w:r w:rsidR="008105FE">
        <w:rPr>
          <w:rFonts w:cs="v5.0.0"/>
        </w:rPr>
        <w:t xml:space="preserve"> </w:t>
      </w:r>
      <w:r w:rsidR="0058327E">
        <w:rPr>
          <w:rFonts w:cs="v5.0.0"/>
        </w:rPr>
        <w:t>directions defined above</w:t>
      </w:r>
      <w:r w:rsidR="008105FE">
        <w:rPr>
          <w:rFonts w:cs="v5.0.0"/>
        </w:rPr>
        <w:t xml:space="preserve">. </w:t>
      </w:r>
      <w:r>
        <w:rPr>
          <w:rFonts w:cs="v5.0.0"/>
        </w:rPr>
        <w:t xml:space="preserve">Notice that </w:t>
      </w:r>
      <w:r w:rsidR="0091254B">
        <w:rPr>
          <w:rFonts w:cs="v5.0.0"/>
        </w:rPr>
        <w:t>with these assumptions</w:t>
      </w:r>
      <w:r>
        <w:rPr>
          <w:rFonts w:cs="v5.0.0"/>
        </w:rPr>
        <w:t xml:space="preserve">, finite beamforming results in a good approximation of ideal beamforming </w:t>
      </w:r>
      <w:r w:rsidR="0091254B">
        <w:rPr>
          <w:rFonts w:cs="v5.0.0"/>
        </w:rPr>
        <w:t>because of</w:t>
      </w:r>
      <w:r w:rsidDel="002F0C60">
        <w:rPr>
          <w:rFonts w:cs="v5.0.0"/>
        </w:rPr>
        <w:t xml:space="preserve"> </w:t>
      </w:r>
      <w:r>
        <w:rPr>
          <w:rFonts w:cs="v5.0.0"/>
        </w:rPr>
        <w:t>t</w:t>
      </w:r>
      <w:r w:rsidR="008105FE">
        <w:rPr>
          <w:rFonts w:cs="v5.0.0"/>
        </w:rPr>
        <w:t xml:space="preserve">he </w:t>
      </w:r>
      <w:r w:rsidR="00965E52">
        <w:rPr>
          <w:rFonts w:cs="v5.0.0"/>
        </w:rPr>
        <w:t xml:space="preserve">very </w:t>
      </w:r>
      <w:r w:rsidR="008105FE">
        <w:rPr>
          <w:rFonts w:cs="v5.0.0"/>
        </w:rPr>
        <w:t>high number of beams.</w:t>
      </w:r>
      <w:r w:rsidR="0084470E">
        <w:rPr>
          <w:rFonts w:cs="v5.0.0"/>
        </w:rPr>
        <w:t xml:space="preserve"> </w:t>
      </w:r>
      <w:r w:rsidR="00D70B1E">
        <w:rPr>
          <w:rFonts w:cs="v5.0.0"/>
        </w:rPr>
        <w:t xml:space="preserve">As a consequence, </w:t>
      </w:r>
      <w:r w:rsidR="0084470E">
        <w:rPr>
          <w:rFonts w:cs="v5.0.0"/>
        </w:rPr>
        <w:t>th</w:t>
      </w:r>
      <w:r w:rsidR="00D70B1E">
        <w:rPr>
          <w:rFonts w:cs="v5.0.0"/>
        </w:rPr>
        <w:t>e</w:t>
      </w:r>
      <w:r w:rsidR="0084470E">
        <w:rPr>
          <w:rFonts w:cs="v5.0.0"/>
        </w:rPr>
        <w:t xml:space="preserve"> network coverage and performance will not be impacted if we use a dense enough discrete set of possible beamforming directions.</w:t>
      </w:r>
    </w:p>
    <w:p w:rsidR="00444846" w:rsidRPr="000479EC" w:rsidRDefault="0084470E" w:rsidP="003B575B">
      <w:pPr>
        <w:jc w:val="both"/>
        <w:rPr>
          <w:rFonts w:cs="v5.0.0"/>
          <w:b/>
          <w:i/>
        </w:rPr>
      </w:pPr>
      <w:r w:rsidRPr="000479EC">
        <w:rPr>
          <w:rFonts w:cs="v5.0.0"/>
          <w:b/>
          <w:i/>
        </w:rPr>
        <w:t>Observation</w:t>
      </w:r>
      <w:r w:rsidR="00C71EE3">
        <w:rPr>
          <w:rFonts w:cs="v5.0.0"/>
          <w:b/>
          <w:i/>
        </w:rPr>
        <w:t xml:space="preserve"> 1</w:t>
      </w:r>
      <w:r w:rsidRPr="000479EC">
        <w:rPr>
          <w:rFonts w:cs="v5.0.0"/>
          <w:b/>
          <w:i/>
        </w:rPr>
        <w:t xml:space="preserve">: Using finite beamforming with beam directions defined in </w:t>
      </w:r>
      <w:r w:rsidRPr="000479EC">
        <w:rPr>
          <w:rFonts w:cs="v5.0.0"/>
          <w:b/>
          <w:i/>
        </w:rPr>
        <w:fldChar w:fldCharType="begin"/>
      </w:r>
      <w:r w:rsidRPr="000479EC">
        <w:rPr>
          <w:rFonts w:cs="v5.0.0"/>
          <w:b/>
          <w:i/>
        </w:rPr>
        <w:instrText xml:space="preserve"> REF _Ref503262415 \n \h  \* MERGEFORMAT </w:instrText>
      </w:r>
      <w:r w:rsidRPr="000479EC">
        <w:rPr>
          <w:rFonts w:cs="v5.0.0"/>
          <w:b/>
          <w:i/>
        </w:rPr>
      </w:r>
      <w:r w:rsidRPr="000479EC">
        <w:rPr>
          <w:rFonts w:cs="v5.0.0"/>
          <w:b/>
          <w:i/>
        </w:rPr>
        <w:fldChar w:fldCharType="separate"/>
      </w:r>
      <w:r w:rsidR="00516FE0" w:rsidRPr="000479EC">
        <w:rPr>
          <w:rFonts w:cs="v5.0.0"/>
          <w:b/>
          <w:i/>
        </w:rPr>
        <w:t>[1]</w:t>
      </w:r>
      <w:r w:rsidRPr="000479EC">
        <w:rPr>
          <w:rFonts w:cs="v5.0.0"/>
          <w:b/>
          <w:i/>
        </w:rPr>
        <w:fldChar w:fldCharType="end"/>
      </w:r>
      <w:r w:rsidRPr="000479EC">
        <w:rPr>
          <w:rFonts w:cs="v5.0.0"/>
          <w:b/>
          <w:i/>
        </w:rPr>
        <w:t xml:space="preserve"> does not impair network coverage and performance compared to ideal beamforming.</w:t>
      </w:r>
    </w:p>
    <w:p w:rsidR="007E6FF2" w:rsidRDefault="007E6FF2" w:rsidP="00C21129">
      <w:pPr>
        <w:keepNext/>
        <w:jc w:val="center"/>
      </w:pPr>
      <w:r w:rsidRPr="007E6FF2">
        <w:rPr>
          <w:rFonts w:cs="v5.0.0"/>
          <w:noProof/>
        </w:rPr>
        <w:lastRenderedPageBreak/>
        <w:drawing>
          <wp:inline distT="0" distB="0" distL="0" distR="0" wp14:anchorId="592255DB" wp14:editId="4E3A3249">
            <wp:extent cx="5327650" cy="399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6B4C5F" w:rsidRDefault="007E6FF2" w:rsidP="00C21129">
      <w:pPr>
        <w:pStyle w:val="Caption"/>
        <w:jc w:val="center"/>
        <w:rPr>
          <w:rFonts w:cs="v5.0.0"/>
        </w:rPr>
      </w:pPr>
      <w:bookmarkStart w:id="3" w:name="_Ref510545164"/>
      <w:r>
        <w:t xml:space="preserve">Figure </w:t>
      </w:r>
      <w:r w:rsidR="003733B8">
        <w:fldChar w:fldCharType="begin"/>
      </w:r>
      <w:r w:rsidR="003733B8">
        <w:instrText xml:space="preserve"> SEQ Figure \* ARABIC </w:instrText>
      </w:r>
      <w:r w:rsidR="003733B8">
        <w:fldChar w:fldCharType="separate"/>
      </w:r>
      <w:r w:rsidR="003733B8">
        <w:rPr>
          <w:noProof/>
        </w:rPr>
        <w:t>1</w:t>
      </w:r>
      <w:r w:rsidR="003733B8">
        <w:fldChar w:fldCharType="end"/>
      </w:r>
      <w:bookmarkEnd w:id="3"/>
      <w:r>
        <w:t>. Antenna gains CDF comparison between finite and ideal beamforming</w:t>
      </w:r>
    </w:p>
    <w:p w:rsidR="007E6FF2" w:rsidRDefault="007E6FF2" w:rsidP="003B575B">
      <w:pPr>
        <w:jc w:val="both"/>
        <w:rPr>
          <w:rFonts w:cs="v5.0.0"/>
        </w:rPr>
      </w:pPr>
    </w:p>
    <w:p w:rsidR="00B66E2C" w:rsidRDefault="00776A7A" w:rsidP="003B575B">
      <w:pPr>
        <w:jc w:val="both"/>
        <w:rPr>
          <w:rFonts w:cs="v5.0.0"/>
        </w:rPr>
      </w:pPr>
      <w:r>
        <w:rPr>
          <w:rFonts w:cs="v5.0.0"/>
        </w:rPr>
        <w:t xml:space="preserve">The metrics adopted for performance evaluation </w:t>
      </w:r>
      <w:r w:rsidR="00902ECD">
        <w:rPr>
          <w:rFonts w:cs="v5.0.0"/>
        </w:rPr>
        <w:t xml:space="preserve">in the rest of the paper </w:t>
      </w:r>
      <w:r>
        <w:rPr>
          <w:rFonts w:cs="v5.0.0"/>
        </w:rPr>
        <w:t>are the SINR, average and 5%-tile throughput and outage.</w:t>
      </w:r>
      <w:r w:rsidR="003F17A2">
        <w:rPr>
          <w:rFonts w:cs="v5.0.0"/>
        </w:rPr>
        <w:t xml:space="preserve"> </w:t>
      </w:r>
      <w:r>
        <w:rPr>
          <w:rFonts w:cs="v5.0.0"/>
        </w:rPr>
        <w:t xml:space="preserve">In particular, as agreed in </w:t>
      </w:r>
      <w:r>
        <w:rPr>
          <w:rFonts w:cs="v5.0.0"/>
        </w:rPr>
        <w:fldChar w:fldCharType="begin"/>
      </w:r>
      <w:r>
        <w:rPr>
          <w:rFonts w:cs="v5.0.0"/>
        </w:rPr>
        <w:instrText xml:space="preserve"> REF _Ref503262415 \n \h </w:instrText>
      </w:r>
      <w:r>
        <w:rPr>
          <w:rFonts w:cs="v5.0.0"/>
        </w:rPr>
      </w:r>
      <w:r>
        <w:rPr>
          <w:rFonts w:cs="v5.0.0"/>
        </w:rPr>
        <w:fldChar w:fldCharType="separate"/>
      </w:r>
      <w:r w:rsidR="00516FE0">
        <w:rPr>
          <w:rFonts w:cs="v5.0.0"/>
        </w:rPr>
        <w:t>[1]</w:t>
      </w:r>
      <w:r>
        <w:rPr>
          <w:rFonts w:cs="v5.0.0"/>
        </w:rPr>
        <w:fldChar w:fldCharType="end"/>
      </w:r>
      <w:r>
        <w:rPr>
          <w:rFonts w:cs="v5.0.0"/>
        </w:rPr>
        <w:t xml:space="preserve">, average and 5%-tile throughput evaluations are </w:t>
      </w:r>
      <w:r w:rsidR="006F6D54">
        <w:rPr>
          <w:rFonts w:cs="v5.0.0"/>
        </w:rPr>
        <w:t xml:space="preserve">analysed </w:t>
      </w:r>
      <w:r>
        <w:rPr>
          <w:rFonts w:cs="v5.0.0"/>
        </w:rPr>
        <w:t>excluding UEs</w:t>
      </w:r>
      <w:r w:rsidR="006F6D54">
        <w:rPr>
          <w:rFonts w:cs="v5.0.0"/>
        </w:rPr>
        <w:t xml:space="preserve"> in outage</w:t>
      </w:r>
      <w:r>
        <w:rPr>
          <w:rFonts w:cs="v5.0.0"/>
        </w:rPr>
        <w:t>.</w:t>
      </w:r>
    </w:p>
    <w:p w:rsidR="00B66E2C" w:rsidRDefault="00B66E2C" w:rsidP="00B66E2C">
      <w:pPr>
        <w:jc w:val="both"/>
        <w:rPr>
          <w:bCs/>
          <w:iCs/>
          <w:lang w:val="en-US"/>
        </w:rPr>
      </w:pPr>
      <w:r>
        <w:rPr>
          <w:bCs/>
          <w:iCs/>
          <w:lang w:val="en-US"/>
        </w:rPr>
        <w:t xml:space="preserve">In the following sections, we will first </w:t>
      </w:r>
      <w:r w:rsidR="007C5FAC">
        <w:rPr>
          <w:bCs/>
          <w:iCs/>
          <w:lang w:val="en-US"/>
        </w:rPr>
        <w:t>provide</w:t>
      </w:r>
      <w:r>
        <w:rPr>
          <w:bCs/>
          <w:iCs/>
          <w:lang w:val="en-US"/>
        </w:rPr>
        <w:t xml:space="preserve"> a brief summary of the </w:t>
      </w:r>
      <w:r w:rsidR="006F6D54">
        <w:rPr>
          <w:bCs/>
          <w:iCs/>
          <w:lang w:val="en-US"/>
        </w:rPr>
        <w:t xml:space="preserve">agreed </w:t>
      </w:r>
      <w:r>
        <w:rPr>
          <w:bCs/>
          <w:iCs/>
          <w:lang w:val="en-US"/>
        </w:rPr>
        <w:t>simulation assumptions</w:t>
      </w:r>
      <w:r w:rsidR="00837333">
        <w:rPr>
          <w:bCs/>
          <w:iCs/>
          <w:lang w:val="en-US"/>
        </w:rPr>
        <w:t xml:space="preserve"> and methodology,</w:t>
      </w:r>
      <w:r>
        <w:rPr>
          <w:bCs/>
          <w:iCs/>
          <w:lang w:val="en-US"/>
        </w:rPr>
        <w:t xml:space="preserve"> and we will then show DL and UL throughput and coverage performance considering three different deployment </w:t>
      </w:r>
      <w:r w:rsidR="00B06A1C">
        <w:rPr>
          <w:bCs/>
          <w:iCs/>
          <w:lang w:val="en-US"/>
        </w:rPr>
        <w:t>scenarios</w:t>
      </w:r>
      <w:r>
        <w:rPr>
          <w:bCs/>
          <w:iCs/>
          <w:lang w:val="en-US"/>
        </w:rPr>
        <w:t xml:space="preserve">, namely </w:t>
      </w:r>
      <w:r>
        <w:rPr>
          <w:lang w:val="en-US"/>
        </w:rPr>
        <w:t>indoor office (InH), dense urban (UMi) and for Urban Macro (UMa).</w:t>
      </w:r>
    </w:p>
    <w:p w:rsidR="00805E42" w:rsidRDefault="004F3B49" w:rsidP="00F33FEA">
      <w:pPr>
        <w:pStyle w:val="Heading2"/>
        <w:rPr>
          <w:lang w:val="en-US"/>
        </w:rPr>
      </w:pPr>
      <w:bookmarkStart w:id="4" w:name="_Ref498606406"/>
      <w:r>
        <w:rPr>
          <w:lang w:val="en-US"/>
        </w:rPr>
        <w:t>S</w:t>
      </w:r>
      <w:r w:rsidR="00805E42">
        <w:rPr>
          <w:lang w:val="en-US"/>
        </w:rPr>
        <w:t>imulation assumptions</w:t>
      </w:r>
      <w:bookmarkEnd w:id="4"/>
      <w:r w:rsidR="00805E42">
        <w:rPr>
          <w:lang w:val="en-US"/>
        </w:rPr>
        <w:t xml:space="preserve"> </w:t>
      </w:r>
    </w:p>
    <w:p w:rsidR="00E243D1" w:rsidRDefault="00E243D1" w:rsidP="007C5FAC">
      <w:pPr>
        <w:jc w:val="both"/>
        <w:rPr>
          <w:lang w:val="en-US"/>
        </w:rPr>
      </w:pPr>
      <w:r>
        <w:rPr>
          <w:lang w:val="en-US"/>
        </w:rPr>
        <w:t xml:space="preserve">Simulation assumptions, agreed in </w:t>
      </w:r>
      <w:r>
        <w:rPr>
          <w:lang w:val="en-US"/>
        </w:rPr>
        <w:fldChar w:fldCharType="begin"/>
      </w:r>
      <w:r>
        <w:rPr>
          <w:lang w:val="en-US"/>
        </w:rPr>
        <w:instrText xml:space="preserve"> REF _Ref503262415 \n \h </w:instrText>
      </w:r>
      <w:r>
        <w:rPr>
          <w:lang w:val="en-US"/>
        </w:rPr>
      </w:r>
      <w:r>
        <w:rPr>
          <w:lang w:val="en-US"/>
        </w:rPr>
        <w:fldChar w:fldCharType="separate"/>
      </w:r>
      <w:r w:rsidR="00516FE0">
        <w:rPr>
          <w:lang w:val="en-US"/>
        </w:rPr>
        <w:t>[1]</w:t>
      </w:r>
      <w:r>
        <w:rPr>
          <w:lang w:val="en-US"/>
        </w:rPr>
        <w:fldChar w:fldCharType="end"/>
      </w:r>
      <w:r>
        <w:rPr>
          <w:lang w:val="en-US"/>
        </w:rPr>
        <w:t xml:space="preserve">, are summarized </w:t>
      </w:r>
      <w:r w:rsidR="006F6D54">
        <w:rPr>
          <w:lang w:val="en-US"/>
        </w:rPr>
        <w:t xml:space="preserve">as </w:t>
      </w:r>
      <w:r>
        <w:rPr>
          <w:lang w:val="en-US"/>
        </w:rPr>
        <w:t>follow</w:t>
      </w:r>
      <w:r w:rsidR="006F6D54">
        <w:rPr>
          <w:lang w:val="en-US"/>
        </w:rPr>
        <w:t>s</w:t>
      </w:r>
      <w:r>
        <w:rPr>
          <w:lang w:val="en-US"/>
        </w:rPr>
        <w:t>:</w:t>
      </w:r>
    </w:p>
    <w:p w:rsidR="00E243D1" w:rsidRDefault="00E243D1" w:rsidP="007167BD">
      <w:pPr>
        <w:pStyle w:val="ListParagraph"/>
        <w:numPr>
          <w:ilvl w:val="0"/>
          <w:numId w:val="18"/>
        </w:numPr>
        <w:jc w:val="both"/>
        <w:rPr>
          <w:lang w:val="en-US"/>
        </w:rPr>
      </w:pPr>
      <w:r w:rsidRPr="00052B0A">
        <w:rPr>
          <w:b/>
          <w:lang w:val="en-US"/>
        </w:rPr>
        <w:t>Three network simulation scenarios</w:t>
      </w:r>
      <w:r>
        <w:rPr>
          <w:lang w:val="en-US"/>
        </w:rPr>
        <w:t xml:space="preserve"> – InH/UMi/UMa</w:t>
      </w:r>
    </w:p>
    <w:p w:rsidR="00E243D1" w:rsidRDefault="00E243D1" w:rsidP="007167BD">
      <w:pPr>
        <w:pStyle w:val="ListParagraph"/>
        <w:numPr>
          <w:ilvl w:val="1"/>
          <w:numId w:val="18"/>
        </w:numPr>
        <w:jc w:val="both"/>
        <w:rPr>
          <w:lang w:val="en-US"/>
        </w:rPr>
      </w:pPr>
      <w:r>
        <w:rPr>
          <w:lang w:val="en-US"/>
        </w:rPr>
        <w:t xml:space="preserve">Baseline parameters as in TR 38.803 with main modification shown in </w:t>
      </w:r>
      <w:r>
        <w:rPr>
          <w:lang w:val="en-US"/>
        </w:rPr>
        <w:fldChar w:fldCharType="begin"/>
      </w:r>
      <w:r>
        <w:rPr>
          <w:lang w:val="en-US"/>
        </w:rPr>
        <w:instrText xml:space="preserve"> REF _Ref503359305 \h </w:instrText>
      </w:r>
      <w:r>
        <w:rPr>
          <w:lang w:val="en-US"/>
        </w:rPr>
      </w:r>
      <w:r>
        <w:rPr>
          <w:lang w:val="en-US"/>
        </w:rPr>
        <w:fldChar w:fldCharType="separate"/>
      </w:r>
      <w:r w:rsidR="00516FE0">
        <w:t xml:space="preserve">Table </w:t>
      </w:r>
      <w:r w:rsidR="00516FE0">
        <w:rPr>
          <w:noProof/>
        </w:rPr>
        <w:t>1</w:t>
      </w:r>
      <w:r>
        <w:rPr>
          <w:lang w:val="en-US"/>
        </w:rPr>
        <w:fldChar w:fldCharType="end"/>
      </w:r>
    </w:p>
    <w:p w:rsidR="00E243D1" w:rsidRDefault="00E243D1" w:rsidP="007167BD">
      <w:pPr>
        <w:pStyle w:val="ListParagraph"/>
        <w:numPr>
          <w:ilvl w:val="0"/>
          <w:numId w:val="18"/>
        </w:numPr>
        <w:jc w:val="both"/>
        <w:rPr>
          <w:lang w:val="en-US"/>
        </w:rPr>
      </w:pPr>
      <w:r w:rsidRPr="00052B0A">
        <w:rPr>
          <w:b/>
          <w:lang w:val="en-US"/>
        </w:rPr>
        <w:t xml:space="preserve">UE </w:t>
      </w:r>
      <w:r w:rsidR="00B434BB">
        <w:rPr>
          <w:b/>
          <w:lang w:val="en-US"/>
        </w:rPr>
        <w:t>orientation</w:t>
      </w:r>
      <w:r w:rsidR="00B434BB">
        <w:rPr>
          <w:lang w:val="en-US"/>
        </w:rPr>
        <w:t xml:space="preserve"> </w:t>
      </w:r>
      <w:r>
        <w:rPr>
          <w:lang w:val="en-US"/>
        </w:rPr>
        <w:t xml:space="preserve">– </w:t>
      </w:r>
      <w:r w:rsidR="008761F2">
        <w:rPr>
          <w:lang w:val="en-US"/>
        </w:rPr>
        <w:t>uniform on sphere surface</w:t>
      </w:r>
    </w:p>
    <w:p w:rsidR="00E243D1" w:rsidRDefault="00E243D1" w:rsidP="007167BD">
      <w:pPr>
        <w:pStyle w:val="ListParagraph"/>
        <w:numPr>
          <w:ilvl w:val="0"/>
          <w:numId w:val="18"/>
        </w:numPr>
        <w:jc w:val="both"/>
        <w:rPr>
          <w:lang w:val="en-US"/>
        </w:rPr>
      </w:pPr>
      <w:r w:rsidRPr="00052B0A">
        <w:rPr>
          <w:b/>
          <w:lang w:val="en-US"/>
        </w:rPr>
        <w:t>UL UE resource allocation</w:t>
      </w:r>
      <w:r>
        <w:rPr>
          <w:lang w:val="en-US"/>
        </w:rPr>
        <w:t xml:space="preserve"> – </w:t>
      </w:r>
      <w:r w:rsidRPr="00A07D1C">
        <w:rPr>
          <w:lang w:val="en-US"/>
        </w:rPr>
        <w:t>20MHz</w:t>
      </w:r>
      <w:r>
        <w:rPr>
          <w:lang w:val="en-US"/>
        </w:rPr>
        <w:t xml:space="preserve"> and </w:t>
      </w:r>
      <w:r w:rsidRPr="00A07D1C">
        <w:rPr>
          <w:lang w:val="en-US"/>
        </w:rPr>
        <w:t>200MHz</w:t>
      </w:r>
    </w:p>
    <w:p w:rsidR="00D70B1E" w:rsidRPr="00073B7D" w:rsidRDefault="00D70B1E" w:rsidP="007167BD">
      <w:pPr>
        <w:pStyle w:val="ListParagraph"/>
        <w:numPr>
          <w:ilvl w:val="0"/>
          <w:numId w:val="18"/>
        </w:numPr>
        <w:jc w:val="both"/>
        <w:rPr>
          <w:lang w:val="en-US"/>
        </w:rPr>
      </w:pPr>
      <w:r>
        <w:rPr>
          <w:b/>
          <w:lang w:val="en-US"/>
        </w:rPr>
        <w:t>UE max EIRP</w:t>
      </w:r>
      <w:r w:rsidRPr="000479EC">
        <w:rPr>
          <w:lang w:val="en-US"/>
        </w:rPr>
        <w:t>:</w:t>
      </w:r>
      <w:r>
        <w:rPr>
          <w:lang w:val="en-US"/>
        </w:rPr>
        <w:t xml:space="preserve"> </w:t>
      </w:r>
      <w:r w:rsidRPr="000479EC">
        <w:rPr>
          <w:lang w:val="en-US"/>
        </w:rPr>
        <w:t>22.5dBm</w:t>
      </w:r>
    </w:p>
    <w:p w:rsidR="00B3690B" w:rsidRDefault="00C23545" w:rsidP="007167BD">
      <w:pPr>
        <w:pStyle w:val="ListParagraph"/>
        <w:numPr>
          <w:ilvl w:val="0"/>
          <w:numId w:val="18"/>
        </w:numPr>
        <w:jc w:val="both"/>
        <w:rPr>
          <w:lang w:val="en-US"/>
        </w:rPr>
      </w:pPr>
      <w:r>
        <w:rPr>
          <w:b/>
          <w:lang w:val="en-US"/>
        </w:rPr>
        <w:t>Implementation</w:t>
      </w:r>
      <w:r w:rsidR="00B3690B">
        <w:rPr>
          <w:b/>
          <w:lang w:val="en-US"/>
        </w:rPr>
        <w:t xml:space="preserve"> losses at UE</w:t>
      </w:r>
      <w:r>
        <w:rPr>
          <w:b/>
          <w:lang w:val="en-US"/>
        </w:rPr>
        <w:t xml:space="preserve"> in DL </w:t>
      </w:r>
      <w:r w:rsidR="00B3690B">
        <w:rPr>
          <w:b/>
          <w:lang w:val="en-US"/>
        </w:rPr>
        <w:t xml:space="preserve">– </w:t>
      </w:r>
      <w:r>
        <w:rPr>
          <w:b/>
          <w:lang w:val="en-US"/>
        </w:rPr>
        <w:t xml:space="preserve"> </w:t>
      </w:r>
      <w:r w:rsidR="00D70B1E">
        <w:rPr>
          <w:lang w:val="en-US"/>
        </w:rPr>
        <w:t>Receiver additional losses</w:t>
      </w:r>
      <w:r w:rsidRPr="00C21129">
        <w:rPr>
          <w:lang w:val="en-US"/>
        </w:rPr>
        <w:t xml:space="preserve"> </w:t>
      </w:r>
      <w:r w:rsidR="00D70B1E">
        <w:rPr>
          <w:lang w:val="en-US"/>
        </w:rPr>
        <w:t>are</w:t>
      </w:r>
      <w:r>
        <w:rPr>
          <w:b/>
          <w:lang w:val="en-US"/>
        </w:rPr>
        <w:t xml:space="preserve"> </w:t>
      </w:r>
      <w:r w:rsidR="00B3690B" w:rsidRPr="00C21129">
        <w:rPr>
          <w:lang w:val="en-US"/>
        </w:rPr>
        <w:t>7.8dB as documented in</w:t>
      </w:r>
      <w:r w:rsidR="00B3690B">
        <w:rPr>
          <w:b/>
          <w:lang w:val="en-US"/>
        </w:rPr>
        <w:t xml:space="preserve"> </w:t>
      </w:r>
      <w:r w:rsidR="007C1E08" w:rsidRPr="00C21129">
        <w:rPr>
          <w:lang w:val="en-US"/>
        </w:rPr>
        <w:fldChar w:fldCharType="begin"/>
      </w:r>
      <w:r w:rsidR="007C1E08" w:rsidRPr="00C21129">
        <w:rPr>
          <w:lang w:val="en-US"/>
        </w:rPr>
        <w:instrText xml:space="preserve"> REF _Ref510604523 \n \h </w:instrText>
      </w:r>
      <w:r w:rsidR="007C1E08">
        <w:rPr>
          <w:lang w:val="en-US"/>
        </w:rPr>
        <w:instrText xml:space="preserve"> \* MERGEFORMAT </w:instrText>
      </w:r>
      <w:r w:rsidR="007C1E08" w:rsidRPr="00C21129">
        <w:rPr>
          <w:lang w:val="en-US"/>
        </w:rPr>
      </w:r>
      <w:r w:rsidR="007C1E08" w:rsidRPr="00C21129">
        <w:rPr>
          <w:lang w:val="en-US"/>
        </w:rPr>
        <w:fldChar w:fldCharType="separate"/>
      </w:r>
      <w:r w:rsidR="00516FE0">
        <w:rPr>
          <w:lang w:val="en-US"/>
        </w:rPr>
        <w:t>[6]</w:t>
      </w:r>
      <w:r w:rsidR="007C1E08" w:rsidRPr="00C21129">
        <w:rPr>
          <w:lang w:val="en-US"/>
        </w:rPr>
        <w:fldChar w:fldCharType="end"/>
      </w:r>
      <w:r w:rsidR="00D70B1E">
        <w:rPr>
          <w:lang w:val="en-US"/>
        </w:rPr>
        <w:t>. This has direct impact on EIS.</w:t>
      </w:r>
    </w:p>
    <w:p w:rsidR="00E243D1" w:rsidRDefault="00E243D1" w:rsidP="007167BD">
      <w:pPr>
        <w:pStyle w:val="ListParagraph"/>
        <w:numPr>
          <w:ilvl w:val="0"/>
          <w:numId w:val="18"/>
        </w:numPr>
        <w:jc w:val="both"/>
        <w:rPr>
          <w:lang w:val="en-US"/>
        </w:rPr>
      </w:pPr>
      <w:r w:rsidRPr="00052B0A">
        <w:rPr>
          <w:b/>
          <w:lang w:val="en-US"/>
        </w:rPr>
        <w:t>UE antenna pattern</w:t>
      </w:r>
      <w:r>
        <w:rPr>
          <w:lang w:val="en-US"/>
        </w:rPr>
        <w:t xml:space="preserve"> – </w:t>
      </w:r>
      <w:r w:rsidR="00B434BB">
        <w:rPr>
          <w:lang w:val="en-US"/>
        </w:rPr>
        <w:t xml:space="preserve">mathematical model or </w:t>
      </w:r>
      <w:r>
        <w:rPr>
          <w:lang w:val="en-US"/>
        </w:rPr>
        <w:t xml:space="preserve">based on </w:t>
      </w:r>
      <w:r w:rsidR="00052B0A">
        <w:rPr>
          <w:lang w:val="en-US"/>
        </w:rPr>
        <w:t>simulated pattern</w:t>
      </w:r>
    </w:p>
    <w:p w:rsidR="00E243D1" w:rsidRPr="00057470" w:rsidRDefault="00052B0A" w:rsidP="00410190">
      <w:pPr>
        <w:pStyle w:val="ListParagraph"/>
        <w:numPr>
          <w:ilvl w:val="0"/>
          <w:numId w:val="18"/>
        </w:numPr>
        <w:jc w:val="both"/>
        <w:rPr>
          <w:lang w:val="en-US"/>
        </w:rPr>
      </w:pPr>
      <w:r w:rsidRPr="00592018">
        <w:rPr>
          <w:b/>
          <w:lang w:val="en-US"/>
        </w:rPr>
        <w:t>H</w:t>
      </w:r>
      <w:r w:rsidR="00E243D1" w:rsidRPr="00592018">
        <w:rPr>
          <w:b/>
          <w:lang w:val="en-US"/>
        </w:rPr>
        <w:t>and blockage</w:t>
      </w:r>
      <w:r w:rsidRPr="00592018">
        <w:rPr>
          <w:lang w:val="en-US"/>
        </w:rPr>
        <w:t xml:space="preserve"> </w:t>
      </w:r>
      <w:r w:rsidR="00592018">
        <w:rPr>
          <w:lang w:val="en-US"/>
        </w:rPr>
        <w:t xml:space="preserve">(when used) </w:t>
      </w:r>
      <w:r w:rsidRPr="00592018">
        <w:rPr>
          <w:lang w:val="en-US"/>
        </w:rPr>
        <w:t xml:space="preserve">– specific Angle of Arrival (AoA) region blocked by hand which introduces a supplementary attenuation log-normally distributed around a </w:t>
      </w:r>
      <w:r>
        <w:t xml:space="preserve">mean of </w:t>
      </w:r>
      <m:oMath>
        <m:r>
          <w:rPr>
            <w:rFonts w:ascii="Cambria Math" w:hAnsi="Cambria Math"/>
          </w:rPr>
          <m:t>μ=15.26 dB</m:t>
        </m:r>
      </m:oMath>
      <w:r>
        <w:t xml:space="preserve"> with a standard deviation from such value of  </w:t>
      </w:r>
      <m:oMath>
        <m:r>
          <w:rPr>
            <w:rFonts w:ascii="Cambria Math" w:hAnsi="Cambria Math"/>
          </w:rPr>
          <m:t>σ=3.8 dB</m:t>
        </m:r>
      </m:oMath>
      <w:r>
        <w:t xml:space="preserve">. Such mean and deviation values were derived from a fitting of a measurement campaign </w:t>
      </w:r>
      <w:r>
        <w:fldChar w:fldCharType="begin"/>
      </w:r>
      <w:r>
        <w:instrText xml:space="preserve"> REF _Ref503533875 \r \h </w:instrText>
      </w:r>
      <w:r>
        <w:fldChar w:fldCharType="separate"/>
      </w:r>
      <w:r w:rsidR="00516FE0">
        <w:t>[5]</w:t>
      </w:r>
      <w:r>
        <w:fldChar w:fldCharType="end"/>
      </w:r>
      <w:r>
        <w:t xml:space="preserve"> and capture a more realistic view of diffraction loss with hand in many real use-cases.</w:t>
      </w:r>
    </w:p>
    <w:p w:rsidR="00DD60AF" w:rsidRDefault="00DD60AF" w:rsidP="00DD60AF">
      <w:pPr>
        <w:pStyle w:val="Caption"/>
        <w:keepNext/>
        <w:jc w:val="center"/>
      </w:pPr>
      <w:bookmarkStart w:id="5" w:name="_Ref503359305"/>
      <w:bookmarkStart w:id="6" w:name="_Hlk503808256"/>
      <w:r>
        <w:t xml:space="preserve">Table </w:t>
      </w:r>
      <w:r>
        <w:fldChar w:fldCharType="begin"/>
      </w:r>
      <w:r>
        <w:instrText xml:space="preserve"> SEQ Table \* ARABIC </w:instrText>
      </w:r>
      <w:r>
        <w:fldChar w:fldCharType="separate"/>
      </w:r>
      <w:r w:rsidR="00516FE0">
        <w:rPr>
          <w:noProof/>
        </w:rPr>
        <w:t>1</w:t>
      </w:r>
      <w:r>
        <w:fldChar w:fldCharType="end"/>
      </w:r>
      <w:bookmarkEnd w:id="5"/>
      <w:r>
        <w:t xml:space="preserve">. </w:t>
      </w:r>
      <w:r w:rsidR="00A23C0C">
        <w:t>Parameters for different deployment scenarios.</w:t>
      </w:r>
    </w:p>
    <w:tbl>
      <w:tblPr>
        <w:tblStyle w:val="TableGrid"/>
        <w:tblW w:w="0" w:type="auto"/>
        <w:jc w:val="center"/>
        <w:tblLook w:val="04A0" w:firstRow="1" w:lastRow="0" w:firstColumn="1" w:lastColumn="0" w:noHBand="0" w:noVBand="1"/>
      </w:tblPr>
      <w:tblGrid>
        <w:gridCol w:w="2508"/>
        <w:gridCol w:w="2639"/>
        <w:gridCol w:w="2639"/>
      </w:tblGrid>
      <w:tr w:rsidR="00183A00" w:rsidRPr="00A07D1C" w:rsidTr="00410190">
        <w:trPr>
          <w:trHeight w:val="340"/>
          <w:jc w:val="center"/>
        </w:trPr>
        <w:tc>
          <w:tcPr>
            <w:tcW w:w="2508" w:type="dxa"/>
            <w:vAlign w:val="center"/>
          </w:tcPr>
          <w:p w:rsidR="00183A00" w:rsidRPr="00A07D1C" w:rsidRDefault="00183A00" w:rsidP="00410190">
            <w:pPr>
              <w:spacing w:after="0"/>
              <w:jc w:val="center"/>
              <w:rPr>
                <w:b/>
                <w:sz w:val="22"/>
                <w:szCs w:val="28"/>
                <w:lang w:val="en-US"/>
              </w:rPr>
            </w:pPr>
            <w:bookmarkStart w:id="7" w:name="_Hlk503533359"/>
            <w:bookmarkStart w:id="8" w:name="_Hlk503533384"/>
            <w:bookmarkEnd w:id="6"/>
            <w:r w:rsidRPr="00A07D1C">
              <w:rPr>
                <w:b/>
                <w:sz w:val="22"/>
                <w:szCs w:val="28"/>
                <w:lang w:val="en-US"/>
              </w:rPr>
              <w:t>InH</w:t>
            </w:r>
          </w:p>
        </w:tc>
        <w:tc>
          <w:tcPr>
            <w:tcW w:w="2639" w:type="dxa"/>
            <w:vAlign w:val="center"/>
          </w:tcPr>
          <w:p w:rsidR="00183A00" w:rsidRPr="00A07D1C" w:rsidRDefault="00183A00" w:rsidP="00410190">
            <w:pPr>
              <w:spacing w:after="0"/>
              <w:jc w:val="center"/>
              <w:rPr>
                <w:sz w:val="22"/>
                <w:lang w:val="en-US"/>
              </w:rPr>
            </w:pPr>
            <w:r w:rsidRPr="00A07D1C">
              <w:rPr>
                <w:b/>
                <w:sz w:val="22"/>
                <w:szCs w:val="28"/>
                <w:lang w:val="en-US"/>
              </w:rPr>
              <w:t>UMi</w:t>
            </w:r>
          </w:p>
        </w:tc>
        <w:tc>
          <w:tcPr>
            <w:tcW w:w="2639" w:type="dxa"/>
            <w:vAlign w:val="center"/>
          </w:tcPr>
          <w:p w:rsidR="00183A00" w:rsidRPr="00A07D1C" w:rsidRDefault="00183A00" w:rsidP="00410190">
            <w:pPr>
              <w:spacing w:after="0"/>
              <w:jc w:val="center"/>
              <w:rPr>
                <w:b/>
                <w:sz w:val="22"/>
                <w:szCs w:val="28"/>
                <w:lang w:val="en-US"/>
              </w:rPr>
            </w:pPr>
            <w:r w:rsidRPr="00A07D1C">
              <w:rPr>
                <w:b/>
                <w:sz w:val="22"/>
                <w:szCs w:val="28"/>
                <w:lang w:val="en-US"/>
              </w:rPr>
              <w:t>UMa</w:t>
            </w:r>
          </w:p>
        </w:tc>
      </w:tr>
      <w:tr w:rsidR="00183A00" w:rsidRPr="00A07D1C" w:rsidTr="00410190">
        <w:trPr>
          <w:trHeight w:val="340"/>
          <w:jc w:val="center"/>
        </w:trPr>
        <w:tc>
          <w:tcPr>
            <w:tcW w:w="2508" w:type="dxa"/>
            <w:vAlign w:val="center"/>
          </w:tcPr>
          <w:p w:rsidR="00183A00" w:rsidRPr="00A07D1C" w:rsidRDefault="00532805" w:rsidP="00410190">
            <w:pPr>
              <w:spacing w:after="0"/>
              <w:jc w:val="center"/>
              <w:rPr>
                <w:sz w:val="22"/>
                <w:lang w:val="en-US"/>
              </w:rPr>
            </w:pPr>
            <w:r w:rsidRPr="00A07D1C">
              <w:rPr>
                <w:sz w:val="22"/>
                <w:lang w:val="en-US"/>
              </w:rPr>
              <w:t xml:space="preserve">UE </w:t>
            </w:r>
            <w:r w:rsidR="00183A00" w:rsidRPr="00A07D1C">
              <w:rPr>
                <w:sz w:val="22"/>
                <w:lang w:val="en-US"/>
              </w:rPr>
              <w:t xml:space="preserve">EIRP = </w:t>
            </w:r>
            <w:r w:rsidR="00B434BB" w:rsidRPr="00593D33">
              <w:rPr>
                <w:sz w:val="22"/>
                <w:lang w:val="en-US"/>
              </w:rPr>
              <w:t>2</w:t>
            </w:r>
            <w:r w:rsidR="00183A00" w:rsidRPr="00593D33">
              <w:rPr>
                <w:sz w:val="22"/>
                <w:lang w:val="en-US"/>
              </w:rPr>
              <w:t>2</w:t>
            </w:r>
            <w:r w:rsidR="00B3690B" w:rsidRPr="00593D33">
              <w:rPr>
                <w:sz w:val="22"/>
                <w:lang w:val="en-US"/>
              </w:rPr>
              <w:t>.5</w:t>
            </w:r>
            <w:r w:rsidR="00183A00" w:rsidRPr="00593D33">
              <w:rPr>
                <w:sz w:val="22"/>
                <w:lang w:val="en-US"/>
              </w:rPr>
              <w:t>dBm</w:t>
            </w:r>
          </w:p>
        </w:tc>
        <w:tc>
          <w:tcPr>
            <w:tcW w:w="2639" w:type="dxa"/>
            <w:vAlign w:val="center"/>
          </w:tcPr>
          <w:p w:rsidR="00183A00" w:rsidRPr="00A07D1C" w:rsidRDefault="00532805" w:rsidP="00410190">
            <w:pPr>
              <w:spacing w:after="0"/>
              <w:jc w:val="center"/>
              <w:rPr>
                <w:sz w:val="22"/>
                <w:lang w:val="en-US"/>
              </w:rPr>
            </w:pPr>
            <w:r w:rsidRPr="00A07D1C">
              <w:rPr>
                <w:sz w:val="22"/>
                <w:lang w:val="en-US"/>
              </w:rPr>
              <w:t xml:space="preserve">UE </w:t>
            </w:r>
            <w:r w:rsidR="00183A00" w:rsidRPr="00A07D1C">
              <w:rPr>
                <w:sz w:val="22"/>
                <w:lang w:val="en-US"/>
              </w:rPr>
              <w:t xml:space="preserve">EIRP = </w:t>
            </w:r>
            <w:r w:rsidR="00B3690B" w:rsidRPr="00593D33">
              <w:rPr>
                <w:sz w:val="22"/>
                <w:lang w:val="en-US"/>
              </w:rPr>
              <w:t>22.5</w:t>
            </w:r>
            <w:r w:rsidR="00183A00" w:rsidRPr="00A07D1C">
              <w:rPr>
                <w:sz w:val="22"/>
                <w:lang w:val="en-US"/>
              </w:rPr>
              <w:t>dBm</w:t>
            </w:r>
          </w:p>
        </w:tc>
        <w:tc>
          <w:tcPr>
            <w:tcW w:w="2639" w:type="dxa"/>
            <w:vAlign w:val="center"/>
          </w:tcPr>
          <w:p w:rsidR="00183A00" w:rsidRPr="00A07D1C" w:rsidRDefault="00532805" w:rsidP="00410190">
            <w:pPr>
              <w:spacing w:after="0"/>
              <w:jc w:val="center"/>
              <w:rPr>
                <w:sz w:val="22"/>
                <w:lang w:val="en-US"/>
              </w:rPr>
            </w:pPr>
            <w:r w:rsidRPr="00A07D1C">
              <w:rPr>
                <w:sz w:val="22"/>
                <w:lang w:val="en-US"/>
              </w:rPr>
              <w:t xml:space="preserve">UE </w:t>
            </w:r>
            <w:r w:rsidR="00183A00" w:rsidRPr="00A07D1C">
              <w:rPr>
                <w:sz w:val="22"/>
                <w:lang w:val="en-US"/>
              </w:rPr>
              <w:t xml:space="preserve">EIRP = </w:t>
            </w:r>
            <w:r w:rsidR="00B3690B" w:rsidRPr="00593D33">
              <w:rPr>
                <w:sz w:val="22"/>
                <w:lang w:val="en-US"/>
              </w:rPr>
              <w:t>22.5</w:t>
            </w:r>
            <w:r w:rsidR="00183A00" w:rsidRPr="00A07D1C">
              <w:rPr>
                <w:sz w:val="22"/>
                <w:lang w:val="en-US"/>
              </w:rPr>
              <w:t>dBm</w:t>
            </w:r>
          </w:p>
        </w:tc>
      </w:tr>
      <w:bookmarkEnd w:id="7"/>
      <w:tr w:rsidR="00052B0A" w:rsidRPr="00A07D1C" w:rsidTr="00410190">
        <w:trPr>
          <w:jc w:val="center"/>
        </w:trPr>
        <w:tc>
          <w:tcPr>
            <w:tcW w:w="2508" w:type="dxa"/>
            <w:vMerge w:val="restart"/>
            <w:vAlign w:val="center"/>
          </w:tcPr>
          <w:p w:rsidR="00052B0A" w:rsidRPr="00A07D1C" w:rsidRDefault="00052B0A" w:rsidP="00410190">
            <w:pPr>
              <w:spacing w:after="0"/>
              <w:jc w:val="center"/>
              <w:rPr>
                <w:sz w:val="22"/>
                <w:lang w:val="en-US"/>
              </w:rPr>
            </w:pPr>
            <w:r w:rsidRPr="00A07D1C">
              <w:rPr>
                <w:sz w:val="22"/>
                <w:lang w:val="en-US"/>
              </w:rPr>
              <w:lastRenderedPageBreak/>
              <w:t>As defined in TR 38.803</w:t>
            </w:r>
          </w:p>
        </w:tc>
        <w:tc>
          <w:tcPr>
            <w:tcW w:w="2639" w:type="dxa"/>
            <w:vAlign w:val="center"/>
          </w:tcPr>
          <w:p w:rsidR="00052B0A" w:rsidRPr="00A07D1C" w:rsidRDefault="00052B0A" w:rsidP="00410190">
            <w:pPr>
              <w:spacing w:after="0"/>
              <w:jc w:val="center"/>
              <w:rPr>
                <w:sz w:val="22"/>
                <w:lang w:val="en-US"/>
              </w:rPr>
            </w:pPr>
            <w:r w:rsidRPr="00A07D1C">
              <w:rPr>
                <w:sz w:val="22"/>
                <w:lang w:val="en-US"/>
              </w:rPr>
              <w:t xml:space="preserve">Indoor/Outdoor UE ratio </w:t>
            </w:r>
            <w:r w:rsidRPr="00A07D1C">
              <w:rPr>
                <w:sz w:val="22"/>
                <w:lang w:val="en-US"/>
              </w:rPr>
              <w:br/>
              <w:t>0%, 20% and 100%</w:t>
            </w:r>
          </w:p>
        </w:tc>
        <w:tc>
          <w:tcPr>
            <w:tcW w:w="2639" w:type="dxa"/>
            <w:vAlign w:val="center"/>
          </w:tcPr>
          <w:p w:rsidR="00052B0A" w:rsidRPr="00A07D1C" w:rsidRDefault="00052B0A" w:rsidP="00410190">
            <w:pPr>
              <w:spacing w:after="0"/>
              <w:jc w:val="center"/>
              <w:rPr>
                <w:sz w:val="22"/>
                <w:lang w:val="en-US"/>
              </w:rPr>
            </w:pPr>
            <w:r w:rsidRPr="00A07D1C">
              <w:rPr>
                <w:sz w:val="22"/>
                <w:lang w:val="en-US"/>
              </w:rPr>
              <w:t>ISD = 200m and 400m</w:t>
            </w:r>
          </w:p>
        </w:tc>
      </w:tr>
      <w:tr w:rsidR="00052B0A" w:rsidRPr="00A07D1C" w:rsidTr="00410190">
        <w:trPr>
          <w:trHeight w:val="340"/>
          <w:jc w:val="center"/>
        </w:trPr>
        <w:tc>
          <w:tcPr>
            <w:tcW w:w="2508" w:type="dxa"/>
            <w:vMerge/>
            <w:vAlign w:val="center"/>
          </w:tcPr>
          <w:p w:rsidR="00052B0A" w:rsidRPr="00A07D1C" w:rsidRDefault="00052B0A" w:rsidP="00410190">
            <w:pPr>
              <w:spacing w:after="0"/>
              <w:jc w:val="center"/>
              <w:rPr>
                <w:sz w:val="22"/>
                <w:lang w:val="en-US"/>
              </w:rPr>
            </w:pPr>
          </w:p>
        </w:tc>
        <w:tc>
          <w:tcPr>
            <w:tcW w:w="2639" w:type="dxa"/>
            <w:vMerge w:val="restart"/>
            <w:vAlign w:val="center"/>
          </w:tcPr>
          <w:p w:rsidR="00052B0A" w:rsidRPr="00A07D1C" w:rsidRDefault="00052B0A" w:rsidP="00410190">
            <w:pPr>
              <w:spacing w:after="0"/>
              <w:jc w:val="center"/>
              <w:rPr>
                <w:b/>
                <w:sz w:val="22"/>
                <w:lang w:val="en-US"/>
              </w:rPr>
            </w:pPr>
            <w:r w:rsidRPr="00A07D1C">
              <w:rPr>
                <w:sz w:val="22"/>
                <w:lang w:val="en-US"/>
              </w:rPr>
              <w:t>As defined in TR 38.803</w:t>
            </w:r>
          </w:p>
        </w:tc>
        <w:tc>
          <w:tcPr>
            <w:tcW w:w="2639" w:type="dxa"/>
            <w:vAlign w:val="center"/>
          </w:tcPr>
          <w:p w:rsidR="00052B0A" w:rsidRPr="00A07D1C" w:rsidRDefault="00052B0A" w:rsidP="00410190">
            <w:pPr>
              <w:spacing w:after="0"/>
              <w:jc w:val="center"/>
              <w:rPr>
                <w:sz w:val="22"/>
                <w:lang w:val="en-US"/>
              </w:rPr>
            </w:pPr>
            <w:r w:rsidRPr="00A07D1C">
              <w:rPr>
                <w:sz w:val="22"/>
                <w:lang w:val="en-US"/>
              </w:rPr>
              <w:t>25m antenna height</w:t>
            </w:r>
          </w:p>
        </w:tc>
      </w:tr>
      <w:tr w:rsidR="00052B0A" w:rsidRPr="00A07D1C" w:rsidTr="00410190">
        <w:trPr>
          <w:trHeight w:val="567"/>
          <w:jc w:val="center"/>
        </w:trPr>
        <w:tc>
          <w:tcPr>
            <w:tcW w:w="2508" w:type="dxa"/>
            <w:vMerge/>
            <w:vAlign w:val="center"/>
          </w:tcPr>
          <w:p w:rsidR="00052B0A" w:rsidRPr="00A07D1C" w:rsidRDefault="00052B0A" w:rsidP="00410190">
            <w:pPr>
              <w:spacing w:after="0"/>
              <w:jc w:val="center"/>
              <w:rPr>
                <w:sz w:val="22"/>
                <w:lang w:val="en-US"/>
              </w:rPr>
            </w:pPr>
          </w:p>
        </w:tc>
        <w:tc>
          <w:tcPr>
            <w:tcW w:w="2639" w:type="dxa"/>
            <w:vMerge/>
            <w:vAlign w:val="center"/>
          </w:tcPr>
          <w:p w:rsidR="00052B0A" w:rsidRPr="00A07D1C" w:rsidRDefault="00052B0A" w:rsidP="00410190">
            <w:pPr>
              <w:spacing w:after="0"/>
              <w:jc w:val="center"/>
              <w:rPr>
                <w:sz w:val="22"/>
                <w:lang w:val="en-US"/>
              </w:rPr>
            </w:pPr>
          </w:p>
        </w:tc>
        <w:tc>
          <w:tcPr>
            <w:tcW w:w="2639" w:type="dxa"/>
            <w:vAlign w:val="center"/>
          </w:tcPr>
          <w:p w:rsidR="00052B0A" w:rsidRPr="00A07D1C" w:rsidRDefault="00052B0A" w:rsidP="00410190">
            <w:pPr>
              <w:spacing w:after="0"/>
              <w:jc w:val="center"/>
              <w:rPr>
                <w:sz w:val="22"/>
                <w:lang w:val="en-US"/>
              </w:rPr>
            </w:pPr>
            <w:r w:rsidRPr="00A07D1C">
              <w:rPr>
                <w:sz w:val="22"/>
                <w:lang w:val="en-US"/>
              </w:rPr>
              <w:t xml:space="preserve">25m UE to BS </w:t>
            </w:r>
            <w:r w:rsidRPr="00A07D1C">
              <w:rPr>
                <w:sz w:val="22"/>
                <w:lang w:val="en-US"/>
              </w:rPr>
              <w:br/>
              <w:t>minimum 2D distance</w:t>
            </w:r>
          </w:p>
        </w:tc>
      </w:tr>
      <w:tr w:rsidR="00052B0A" w:rsidRPr="00A07D1C" w:rsidTr="00410190">
        <w:trPr>
          <w:trHeight w:val="567"/>
          <w:jc w:val="center"/>
        </w:trPr>
        <w:tc>
          <w:tcPr>
            <w:tcW w:w="2508" w:type="dxa"/>
            <w:vMerge/>
            <w:vAlign w:val="center"/>
          </w:tcPr>
          <w:p w:rsidR="00052B0A" w:rsidRPr="00A07D1C" w:rsidRDefault="00052B0A" w:rsidP="00410190">
            <w:pPr>
              <w:spacing w:after="0"/>
              <w:jc w:val="center"/>
              <w:rPr>
                <w:sz w:val="22"/>
                <w:lang w:val="en-US"/>
              </w:rPr>
            </w:pPr>
          </w:p>
        </w:tc>
        <w:tc>
          <w:tcPr>
            <w:tcW w:w="2639" w:type="dxa"/>
            <w:vMerge/>
            <w:vAlign w:val="center"/>
          </w:tcPr>
          <w:p w:rsidR="00052B0A" w:rsidRPr="00A07D1C" w:rsidRDefault="00052B0A" w:rsidP="00410190">
            <w:pPr>
              <w:spacing w:after="0"/>
              <w:jc w:val="center"/>
              <w:rPr>
                <w:sz w:val="22"/>
                <w:lang w:val="en-US"/>
              </w:rPr>
            </w:pPr>
          </w:p>
        </w:tc>
        <w:tc>
          <w:tcPr>
            <w:tcW w:w="2639" w:type="dxa"/>
            <w:vAlign w:val="center"/>
          </w:tcPr>
          <w:p w:rsidR="00052B0A" w:rsidRPr="00A07D1C" w:rsidRDefault="00052B0A" w:rsidP="00410190">
            <w:pPr>
              <w:spacing w:after="0"/>
              <w:jc w:val="center"/>
              <w:rPr>
                <w:sz w:val="22"/>
                <w:lang w:val="en-US"/>
              </w:rPr>
            </w:pPr>
            <w:r w:rsidRPr="00A07D1C">
              <w:rPr>
                <w:sz w:val="22"/>
                <w:lang w:val="en-US"/>
              </w:rPr>
              <w:t xml:space="preserve">Indoor/Outdoor UE ratio </w:t>
            </w:r>
            <w:r w:rsidRPr="00A07D1C">
              <w:rPr>
                <w:sz w:val="22"/>
                <w:lang w:val="en-US"/>
              </w:rPr>
              <w:br/>
              <w:t>0%, 20% and 100%</w:t>
            </w:r>
          </w:p>
        </w:tc>
      </w:tr>
      <w:tr w:rsidR="00052B0A" w:rsidRPr="00A07D1C" w:rsidTr="00410190">
        <w:trPr>
          <w:trHeight w:val="340"/>
          <w:jc w:val="center"/>
        </w:trPr>
        <w:tc>
          <w:tcPr>
            <w:tcW w:w="2508" w:type="dxa"/>
            <w:vMerge/>
            <w:vAlign w:val="center"/>
          </w:tcPr>
          <w:p w:rsidR="00052B0A" w:rsidRPr="00A07D1C" w:rsidRDefault="00052B0A" w:rsidP="00410190">
            <w:pPr>
              <w:spacing w:after="0"/>
              <w:jc w:val="center"/>
              <w:rPr>
                <w:sz w:val="22"/>
                <w:lang w:val="en-US"/>
              </w:rPr>
            </w:pPr>
          </w:p>
        </w:tc>
        <w:tc>
          <w:tcPr>
            <w:tcW w:w="2639" w:type="dxa"/>
            <w:vMerge/>
            <w:vAlign w:val="center"/>
          </w:tcPr>
          <w:p w:rsidR="00052B0A" w:rsidRPr="00A07D1C" w:rsidRDefault="00052B0A" w:rsidP="00410190">
            <w:pPr>
              <w:spacing w:after="0"/>
              <w:jc w:val="center"/>
              <w:rPr>
                <w:sz w:val="22"/>
                <w:lang w:val="en-US"/>
              </w:rPr>
            </w:pPr>
          </w:p>
        </w:tc>
        <w:tc>
          <w:tcPr>
            <w:tcW w:w="2639" w:type="dxa"/>
            <w:vAlign w:val="center"/>
          </w:tcPr>
          <w:p w:rsidR="00052B0A" w:rsidRPr="00A07D1C" w:rsidRDefault="00052B0A" w:rsidP="00410190">
            <w:pPr>
              <w:spacing w:after="0"/>
              <w:jc w:val="center"/>
              <w:rPr>
                <w:sz w:val="22"/>
                <w:lang w:val="en-US"/>
              </w:rPr>
            </w:pPr>
            <w:r w:rsidRPr="00A07D1C">
              <w:rPr>
                <w:sz w:val="22"/>
                <w:lang w:val="en-US"/>
              </w:rPr>
              <w:t xml:space="preserve">All other parameters </w:t>
            </w:r>
            <w:r w:rsidR="004C1C9A">
              <w:rPr>
                <w:sz w:val="22"/>
                <w:lang w:val="en-US"/>
              </w:rPr>
              <w:br/>
            </w:r>
            <w:r w:rsidRPr="00A07D1C">
              <w:rPr>
                <w:sz w:val="22"/>
                <w:lang w:val="en-US"/>
              </w:rPr>
              <w:t>as defined in TR 38.803</w:t>
            </w:r>
          </w:p>
        </w:tc>
      </w:tr>
      <w:bookmarkEnd w:id="8"/>
    </w:tbl>
    <w:p w:rsidR="00DD60AF" w:rsidRDefault="00DD60AF" w:rsidP="002D4D1D">
      <w:pPr>
        <w:jc w:val="both"/>
        <w:rPr>
          <w:lang w:val="en-US"/>
        </w:rPr>
      </w:pPr>
    </w:p>
    <w:p w:rsidR="00D70B1E" w:rsidRDefault="00D70B1E" w:rsidP="002D4D1D">
      <w:pPr>
        <w:jc w:val="both"/>
        <w:rPr>
          <w:lang w:val="en-US"/>
        </w:rPr>
      </w:pPr>
      <w:r>
        <w:rPr>
          <w:lang w:val="en-US"/>
        </w:rPr>
        <w:t xml:space="preserve">A very important element introduced here compared to our previous analysis is the need to account for additional losses at the receiver side. Indeed, many of the losses which leads to lower EIRP compared the theoretical 34dBm affects the receiver as well. In other words, there is a strong correlation between losses affecting EIRP and EIS requirements. This is well documented in our contribution in </w:t>
      </w:r>
      <w:r>
        <w:rPr>
          <w:lang w:val="en-US"/>
        </w:rPr>
        <w:fldChar w:fldCharType="begin"/>
      </w:r>
      <w:r>
        <w:rPr>
          <w:lang w:val="en-US"/>
        </w:rPr>
        <w:instrText xml:space="preserve"> REF _Ref510604523 \r \h </w:instrText>
      </w:r>
      <w:r>
        <w:rPr>
          <w:lang w:val="en-US"/>
        </w:rPr>
      </w:r>
      <w:r>
        <w:rPr>
          <w:lang w:val="en-US"/>
        </w:rPr>
        <w:fldChar w:fldCharType="separate"/>
      </w:r>
      <w:r>
        <w:rPr>
          <w:lang w:val="en-US"/>
        </w:rPr>
        <w:t>[6]</w:t>
      </w:r>
      <w:r>
        <w:rPr>
          <w:lang w:val="en-US"/>
        </w:rPr>
        <w:fldChar w:fldCharType="end"/>
      </w:r>
      <w:r>
        <w:rPr>
          <w:lang w:val="en-US"/>
        </w:rPr>
        <w:t>.</w:t>
      </w:r>
    </w:p>
    <w:p w:rsidR="00C71EE3" w:rsidRPr="000479EC" w:rsidRDefault="00C71EE3" w:rsidP="002D4D1D">
      <w:pPr>
        <w:jc w:val="both"/>
        <w:rPr>
          <w:b/>
          <w:i/>
          <w:lang w:val="en-US"/>
        </w:rPr>
      </w:pPr>
      <w:r w:rsidRPr="000479EC">
        <w:rPr>
          <w:b/>
          <w:i/>
          <w:lang w:val="en-US"/>
        </w:rPr>
        <w:t xml:space="preserve">Observation </w:t>
      </w:r>
      <w:r w:rsidR="005D38FB">
        <w:rPr>
          <w:b/>
          <w:i/>
          <w:lang w:val="en-US"/>
        </w:rPr>
        <w:t>2</w:t>
      </w:r>
      <w:r w:rsidRPr="000479EC">
        <w:rPr>
          <w:b/>
          <w:i/>
          <w:lang w:val="en-US"/>
        </w:rPr>
        <w:t>:</w:t>
      </w:r>
      <w:r>
        <w:rPr>
          <w:b/>
          <w:i/>
          <w:lang w:val="en-US"/>
        </w:rPr>
        <w:t xml:space="preserve"> additional </w:t>
      </w:r>
      <w:r w:rsidR="005D38FB">
        <w:rPr>
          <w:b/>
          <w:i/>
          <w:lang w:val="en-US"/>
        </w:rPr>
        <w:t>attenuation</w:t>
      </w:r>
      <w:r>
        <w:rPr>
          <w:b/>
          <w:i/>
          <w:lang w:val="en-US"/>
        </w:rPr>
        <w:t xml:space="preserve"> need</w:t>
      </w:r>
      <w:r w:rsidR="005D38FB">
        <w:rPr>
          <w:b/>
          <w:i/>
          <w:lang w:val="en-US"/>
        </w:rPr>
        <w:t>s</w:t>
      </w:r>
      <w:r>
        <w:rPr>
          <w:b/>
          <w:i/>
          <w:lang w:val="en-US"/>
        </w:rPr>
        <w:t xml:space="preserve"> to be included in DL budget to account for the </w:t>
      </w:r>
      <w:r w:rsidR="005D38FB">
        <w:rPr>
          <w:b/>
          <w:i/>
          <w:lang w:val="en-US"/>
        </w:rPr>
        <w:t>losses which cause lower EIRP compared to the theoretical value.</w:t>
      </w:r>
    </w:p>
    <w:p w:rsidR="00D70B1E" w:rsidRDefault="00D70B1E" w:rsidP="002D4D1D">
      <w:pPr>
        <w:jc w:val="both"/>
        <w:rPr>
          <w:lang w:val="en-US"/>
        </w:rPr>
      </w:pPr>
      <w:r>
        <w:rPr>
          <w:lang w:val="en-US"/>
        </w:rPr>
        <w:t xml:space="preserve">Regarding the UE peak EIRP we selected 22.5dBm which is lower compared to our previous analysis carried out with 23.2dBm. The motivation is that the requirement is not agreed and the two final proposals in the last meeting were 22dBm and 23.2dBm. This does not affect our final conclusions. The only caveat is that lower EIRP will make the system more sensitive to a good spherical coverage requirement, especially for what concerns the cell edge performance. </w:t>
      </w:r>
    </w:p>
    <w:p w:rsidR="00B33728" w:rsidRDefault="00B33728" w:rsidP="00B33728">
      <w:pPr>
        <w:pStyle w:val="Heading2"/>
        <w:rPr>
          <w:lang w:val="en-US"/>
        </w:rPr>
      </w:pPr>
      <w:r>
        <w:rPr>
          <w:lang w:val="en-US"/>
        </w:rPr>
        <w:t>Simulation methodology</w:t>
      </w:r>
    </w:p>
    <w:p w:rsidR="00915E7F" w:rsidRDefault="00675C63" w:rsidP="00B33728">
      <w:pPr>
        <w:jc w:val="both"/>
      </w:pPr>
      <w:r>
        <w:rPr>
          <w:lang w:val="en-US"/>
        </w:rPr>
        <w:t>T</w:t>
      </w:r>
      <w:r w:rsidR="007C5FAC">
        <w:t>o evaluate the impact of spherical coverage</w:t>
      </w:r>
      <w:r w:rsidR="00B33728">
        <w:t xml:space="preserve"> on NW performance</w:t>
      </w:r>
      <w:r>
        <w:t xml:space="preserve"> we considered </w:t>
      </w:r>
      <w:r w:rsidR="00AC1638">
        <w:t xml:space="preserve">two </w:t>
      </w:r>
      <w:r>
        <w:t>different panel configurations</w:t>
      </w:r>
      <w:r w:rsidR="00A67470">
        <w:t xml:space="preserve"> </w:t>
      </w:r>
      <w:r w:rsidR="00900655">
        <w:t>and compared their impact on NR network coverage and capacity</w:t>
      </w:r>
      <w:r w:rsidR="00915E7F">
        <w:t>:</w:t>
      </w:r>
    </w:p>
    <w:p w:rsidR="00915E7F" w:rsidRDefault="00915E7F" w:rsidP="00915E7F">
      <w:pPr>
        <w:pStyle w:val="ListParagraph"/>
        <w:numPr>
          <w:ilvl w:val="0"/>
          <w:numId w:val="21"/>
        </w:numPr>
        <w:jc w:val="both"/>
      </w:pPr>
      <w:r>
        <w:t>Configuration 1 (CFG1): a single module/panel is adopted</w:t>
      </w:r>
    </w:p>
    <w:p w:rsidR="00915E7F" w:rsidRDefault="00915E7F" w:rsidP="00915E7F">
      <w:pPr>
        <w:pStyle w:val="ListParagraph"/>
        <w:numPr>
          <w:ilvl w:val="0"/>
          <w:numId w:val="21"/>
        </w:numPr>
        <w:jc w:val="both"/>
      </w:pPr>
      <w:r>
        <w:t xml:space="preserve">TR Configuration (Reference – TR CFG): </w:t>
      </w:r>
      <w:r w:rsidR="009B7DE8">
        <w:t xml:space="preserve">multi-panel </w:t>
      </w:r>
      <w:r>
        <w:t>reference CDF</w:t>
      </w:r>
      <w:r w:rsidR="009B7DE8">
        <w:t xml:space="preserve"> </w:t>
      </w:r>
      <w:r>
        <w:t xml:space="preserve">with antenna configuration as in </w:t>
      </w:r>
      <w:r>
        <w:fldChar w:fldCharType="begin"/>
      </w:r>
      <w:r>
        <w:instrText xml:space="preserve"> REF _Ref503776550 \n \h </w:instrText>
      </w:r>
      <w:r>
        <w:fldChar w:fldCharType="separate"/>
      </w:r>
      <w:r w:rsidR="00516FE0">
        <w:t>[4]</w:t>
      </w:r>
      <w:r>
        <w:fldChar w:fldCharType="end"/>
      </w:r>
    </w:p>
    <w:p w:rsidR="00915E7F" w:rsidRDefault="00915E7F" w:rsidP="000C7247">
      <w:pPr>
        <w:jc w:val="both"/>
      </w:pPr>
      <w:r>
        <w:t xml:space="preserve">TR antenna configuration defined in </w:t>
      </w:r>
      <w:r>
        <w:fldChar w:fldCharType="begin"/>
      </w:r>
      <w:r>
        <w:instrText xml:space="preserve"> REF _Ref503776550 \n \h </w:instrText>
      </w:r>
      <w:r>
        <w:fldChar w:fldCharType="separate"/>
      </w:r>
      <w:r w:rsidR="00516FE0">
        <w:t>[4]</w:t>
      </w:r>
      <w:r>
        <w:fldChar w:fldCharType="end"/>
      </w:r>
      <w:r>
        <w:t xml:space="preserve"> is a multi-panel (2 panels) configuration whose gains CDF resembles the one presented in our previous contribution in </w:t>
      </w:r>
      <w:r w:rsidR="006A61DE">
        <w:fldChar w:fldCharType="begin"/>
      </w:r>
      <w:r w:rsidR="006A61DE">
        <w:instrText xml:space="preserve"> REF _Ref506812131 \n \h </w:instrText>
      </w:r>
      <w:r w:rsidR="006A61DE">
        <w:fldChar w:fldCharType="separate"/>
      </w:r>
      <w:r w:rsidR="00516FE0">
        <w:t>[2]</w:t>
      </w:r>
      <w:r w:rsidR="006A61DE">
        <w:fldChar w:fldCharType="end"/>
      </w:r>
      <w:r w:rsidR="006A61DE">
        <w:t xml:space="preserve"> for multi-panel case (CFG2). For this reason in this paper we will consider TR configuration as reference </w:t>
      </w:r>
      <w:r w:rsidR="009B7DE8">
        <w:t>for multi-panel UE design</w:t>
      </w:r>
      <w:r w:rsidR="0001316E">
        <w:t xml:space="preserve"> as also agreed in </w:t>
      </w:r>
      <w:r w:rsidR="0001316E">
        <w:fldChar w:fldCharType="begin"/>
      </w:r>
      <w:r w:rsidR="0001316E">
        <w:instrText xml:space="preserve"> REF _Ref503262415 \n \h </w:instrText>
      </w:r>
      <w:r w:rsidR="0001316E">
        <w:fldChar w:fldCharType="separate"/>
      </w:r>
      <w:r w:rsidR="00516FE0">
        <w:t>[1]</w:t>
      </w:r>
      <w:r w:rsidR="0001316E">
        <w:fldChar w:fldCharType="end"/>
      </w:r>
      <w:r w:rsidR="0001316E">
        <w:t>.</w:t>
      </w:r>
    </w:p>
    <w:p w:rsidR="00900655" w:rsidRDefault="009B7DE8" w:rsidP="00B33728">
      <w:pPr>
        <w:jc w:val="both"/>
      </w:pPr>
      <w:r>
        <w:t xml:space="preserve">Differently, CFG1 is defined for single panel design and the correspondent antenna pattern is retrieved from electromagnetic simulations. To </w:t>
      </w:r>
      <w:r w:rsidR="00144BF1">
        <w:t>simplify the methodology and reduce the simulation complexity the following</w:t>
      </w:r>
      <w:r>
        <w:t xml:space="preserve"> </w:t>
      </w:r>
      <w:r w:rsidR="00144BF1">
        <w:t>methodology is adopted:</w:t>
      </w:r>
    </w:p>
    <w:p w:rsidR="00144BF1" w:rsidRDefault="00144BF1" w:rsidP="00A07D1C">
      <w:pPr>
        <w:pStyle w:val="ListParagraph"/>
        <w:numPr>
          <w:ilvl w:val="0"/>
          <w:numId w:val="20"/>
        </w:numPr>
        <w:jc w:val="both"/>
      </w:pPr>
      <w:r>
        <w:t>The antenna element response is obtained through electromagnetic simulation. The antenna gain is characterized across the sphere, i.e. for every azimuth and elevation angle.</w:t>
      </w:r>
    </w:p>
    <w:p w:rsidR="00144BF1" w:rsidRDefault="00144BF1" w:rsidP="00A07D1C">
      <w:pPr>
        <w:pStyle w:val="ListParagraph"/>
        <w:numPr>
          <w:ilvl w:val="0"/>
          <w:numId w:val="20"/>
        </w:numPr>
        <w:jc w:val="both"/>
      </w:pPr>
      <w:r>
        <w:t>The spherical antenna pattern is fed into the network simulator.</w:t>
      </w:r>
    </w:p>
    <w:p w:rsidR="00144BF1" w:rsidRDefault="00144BF1" w:rsidP="00A07D1C">
      <w:pPr>
        <w:pStyle w:val="ListParagraph"/>
        <w:numPr>
          <w:ilvl w:val="0"/>
          <w:numId w:val="20"/>
        </w:numPr>
        <w:jc w:val="both"/>
      </w:pPr>
      <w:r>
        <w:t>A rotation of the antenna pattern is applied depending on the panel location and UE orientation.</w:t>
      </w:r>
    </w:p>
    <w:p w:rsidR="00144BF1" w:rsidRDefault="00144BF1" w:rsidP="00A07D1C">
      <w:pPr>
        <w:pStyle w:val="ListParagraph"/>
        <w:numPr>
          <w:ilvl w:val="0"/>
          <w:numId w:val="20"/>
        </w:numPr>
        <w:jc w:val="both"/>
      </w:pPr>
      <w:r>
        <w:t>Array factor gain based on phase progression is added on top of the element gain.</w:t>
      </w:r>
    </w:p>
    <w:p w:rsidR="00C71EE3" w:rsidRDefault="006C35B4" w:rsidP="008761F2">
      <w:pPr>
        <w:jc w:val="both"/>
      </w:pPr>
      <w:r w:rsidRPr="00902ECD">
        <w:fldChar w:fldCharType="begin"/>
      </w:r>
      <w:r w:rsidRPr="006C35B4">
        <w:instrText xml:space="preserve"> REF _Ref510779342 \h </w:instrText>
      </w:r>
      <w:r w:rsidRPr="00410190">
        <w:instrText xml:space="preserve"> \* MERGEFORMAT </w:instrText>
      </w:r>
      <w:r w:rsidRPr="00902ECD">
        <w:fldChar w:fldCharType="separate"/>
      </w:r>
      <w:r w:rsidR="00516FE0" w:rsidRPr="000479EC">
        <w:t xml:space="preserve">Figure </w:t>
      </w:r>
      <w:r w:rsidR="00516FE0" w:rsidRPr="000479EC">
        <w:rPr>
          <w:noProof/>
        </w:rPr>
        <w:t>2</w:t>
      </w:r>
      <w:r w:rsidRPr="00902ECD">
        <w:fldChar w:fldCharType="end"/>
      </w:r>
      <w:r>
        <w:t xml:space="preserve"> shows </w:t>
      </w:r>
      <w:r w:rsidR="00D8172B">
        <w:t xml:space="preserve">the </w:t>
      </w:r>
      <w:r w:rsidR="000C7247">
        <w:t xml:space="preserve">correspondent </w:t>
      </w:r>
      <w:r w:rsidR="00D8172B">
        <w:t>CDFs obtained considering an array factor of 6dB, i.e. a total of 4 antenna elements per module.</w:t>
      </w:r>
      <w:r w:rsidR="000C7247">
        <w:t xml:space="preserve"> Such configurations and relative CDFs have also been considered coherently with the analysis </w:t>
      </w:r>
      <w:r w:rsidR="009371A8">
        <w:t xml:space="preserve">and results </w:t>
      </w:r>
      <w:r w:rsidR="000C7247">
        <w:t>carried out in</w:t>
      </w:r>
      <w:r w:rsidR="009371A8">
        <w:t xml:space="preserve"> </w:t>
      </w:r>
      <w:r w:rsidR="009371A8">
        <w:fldChar w:fldCharType="begin"/>
      </w:r>
      <w:r w:rsidR="009371A8">
        <w:instrText xml:space="preserve"> REF _Ref510778530 \n \h </w:instrText>
      </w:r>
      <w:r w:rsidR="009371A8">
        <w:fldChar w:fldCharType="separate"/>
      </w:r>
      <w:r w:rsidR="00516FE0">
        <w:t>[7]</w:t>
      </w:r>
      <w:r w:rsidR="009371A8">
        <w:fldChar w:fldCharType="end"/>
      </w:r>
      <w:r w:rsidR="009371A8">
        <w:t xml:space="preserve"> where glass packaging CDF degradation is </w:t>
      </w:r>
      <w:r w:rsidR="004348C5">
        <w:t>accounted for</w:t>
      </w:r>
      <w:r w:rsidR="009371A8">
        <w:t>.</w:t>
      </w:r>
      <w:r w:rsidR="004348C5">
        <w:t xml:space="preserve"> </w:t>
      </w:r>
      <w:r w:rsidR="003800D8">
        <w:t>In</w:t>
      </w:r>
      <w:r w:rsidR="004348C5">
        <w:t xml:space="preserve"> </w:t>
      </w:r>
      <w:r w:rsidR="00D70B1E">
        <w:t xml:space="preserve">this </w:t>
      </w:r>
      <w:r w:rsidR="004348C5">
        <w:t>contribution any additional loss is included in</w:t>
      </w:r>
      <w:r w:rsidR="000B0DF4">
        <w:t xml:space="preserve"> the global</w:t>
      </w:r>
      <w:r w:rsidR="004348C5">
        <w:t xml:space="preserve"> EIRP (for UL) and EIS (for DL) </w:t>
      </w:r>
      <w:r w:rsidR="00D70B1E">
        <w:t>budget</w:t>
      </w:r>
      <w:r w:rsidR="000B0DF4">
        <w:t>.</w:t>
      </w:r>
      <w:r w:rsidR="00D70B1E">
        <w:t xml:space="preserve"> In other words the overall budget adopted in this study is consistent with the CDF </w:t>
      </w:r>
      <w:r w:rsidR="00C71EE3">
        <w:t xml:space="preserve">curves </w:t>
      </w:r>
      <w:r w:rsidR="00D70B1E">
        <w:t xml:space="preserve">and EIS </w:t>
      </w:r>
      <w:r w:rsidR="00C71EE3">
        <w:t xml:space="preserve">proposals presented in </w:t>
      </w:r>
      <w:r w:rsidR="00C71EE3">
        <w:fldChar w:fldCharType="begin"/>
      </w:r>
      <w:r w:rsidR="00C71EE3">
        <w:instrText xml:space="preserve"> REF _Ref510604523 \r \h </w:instrText>
      </w:r>
      <w:r w:rsidR="00C71EE3">
        <w:fldChar w:fldCharType="separate"/>
      </w:r>
      <w:r w:rsidR="00C71EE3">
        <w:t>[6]</w:t>
      </w:r>
      <w:r w:rsidR="00C71EE3">
        <w:fldChar w:fldCharType="end"/>
      </w:r>
      <w:r w:rsidR="00C71EE3">
        <w:t xml:space="preserve"> and </w:t>
      </w:r>
      <w:r w:rsidR="00C71EE3">
        <w:fldChar w:fldCharType="begin"/>
      </w:r>
      <w:r w:rsidR="00C71EE3">
        <w:instrText xml:space="preserve"> REF _Ref510795223 \r \h </w:instrText>
      </w:r>
      <w:r w:rsidR="00C71EE3">
        <w:fldChar w:fldCharType="separate"/>
      </w:r>
      <w:r w:rsidR="00C71EE3">
        <w:t>[7]</w:t>
      </w:r>
      <w:r w:rsidR="00C71EE3">
        <w:fldChar w:fldCharType="end"/>
      </w:r>
      <w:r w:rsidR="00C71EE3">
        <w:t xml:space="preserve">, respectively. For instance, the loss due to glass is introduced to make sure that at both Tx and Rx side the performance </w:t>
      </w:r>
      <w:r w:rsidR="00073B7D">
        <w:t>is</w:t>
      </w:r>
      <w:r w:rsidR="00C71EE3">
        <w:t xml:space="preserve"> consistent. </w:t>
      </w:r>
    </w:p>
    <w:p w:rsidR="008761F2" w:rsidRDefault="00A0014B" w:rsidP="008761F2">
      <w:pPr>
        <w:jc w:val="both"/>
      </w:pPr>
      <w:r>
        <w:fldChar w:fldCharType="begin"/>
      </w:r>
      <w:r>
        <w:instrText xml:space="preserve"> REF _Ref510705450 \h </w:instrText>
      </w:r>
      <w:r>
        <w:fldChar w:fldCharType="separate"/>
      </w:r>
      <w:r w:rsidR="00516FE0">
        <w:t xml:space="preserve">Table </w:t>
      </w:r>
      <w:r w:rsidR="00516FE0">
        <w:rPr>
          <w:noProof/>
        </w:rPr>
        <w:t>2</w:t>
      </w:r>
      <w:r>
        <w:fldChar w:fldCharType="end"/>
      </w:r>
      <w:r>
        <w:t xml:space="preserve"> summarizes the CDF droops at 50%-tile and 20%-tile for all considered configurations.</w:t>
      </w:r>
    </w:p>
    <w:p w:rsidR="00E17486" w:rsidRDefault="00E17486" w:rsidP="00E17486">
      <w:pPr>
        <w:pStyle w:val="Caption"/>
        <w:keepNext/>
        <w:jc w:val="center"/>
      </w:pPr>
      <w:bookmarkStart w:id="9" w:name="_Ref510705450"/>
      <w:r>
        <w:t xml:space="preserve">Table </w:t>
      </w:r>
      <w:r>
        <w:fldChar w:fldCharType="begin"/>
      </w:r>
      <w:r>
        <w:instrText xml:space="preserve"> SEQ Table \* ARABIC </w:instrText>
      </w:r>
      <w:r>
        <w:fldChar w:fldCharType="separate"/>
      </w:r>
      <w:r w:rsidR="00516FE0">
        <w:rPr>
          <w:noProof/>
        </w:rPr>
        <w:t>2</w:t>
      </w:r>
      <w:r>
        <w:fldChar w:fldCharType="end"/>
      </w:r>
      <w:bookmarkEnd w:id="9"/>
      <w:r>
        <w:t>. Gains CDFs droops at 50%-tile and 20%-tile</w:t>
      </w:r>
    </w:p>
    <w:tbl>
      <w:tblPr>
        <w:tblStyle w:val="TableGrid"/>
        <w:tblW w:w="0" w:type="auto"/>
        <w:jc w:val="center"/>
        <w:tblLayout w:type="fixed"/>
        <w:tblLook w:val="04A0" w:firstRow="1" w:lastRow="0" w:firstColumn="1" w:lastColumn="0" w:noHBand="0" w:noVBand="1"/>
      </w:tblPr>
      <w:tblGrid>
        <w:gridCol w:w="1066"/>
        <w:gridCol w:w="1861"/>
        <w:gridCol w:w="1861"/>
      </w:tblGrid>
      <w:tr w:rsidR="00593D33" w:rsidTr="00410190">
        <w:trPr>
          <w:trHeight w:val="351"/>
          <w:jc w:val="center"/>
        </w:trPr>
        <w:tc>
          <w:tcPr>
            <w:tcW w:w="1066" w:type="dxa"/>
            <w:tcBorders>
              <w:top w:val="nil"/>
              <w:left w:val="nil"/>
            </w:tcBorders>
          </w:tcPr>
          <w:p w:rsidR="00593D33" w:rsidRDefault="00593D33" w:rsidP="00410190">
            <w:pPr>
              <w:spacing w:after="0"/>
              <w:jc w:val="center"/>
            </w:pPr>
          </w:p>
        </w:tc>
        <w:tc>
          <w:tcPr>
            <w:tcW w:w="1861" w:type="dxa"/>
            <w:vAlign w:val="center"/>
          </w:tcPr>
          <w:p w:rsidR="00593D33" w:rsidRPr="00593D33" w:rsidRDefault="00E17486" w:rsidP="00410190">
            <w:pPr>
              <w:spacing w:after="0"/>
              <w:jc w:val="center"/>
              <w:rPr>
                <w:b/>
              </w:rPr>
            </w:pPr>
            <w:r>
              <w:rPr>
                <w:b/>
              </w:rPr>
              <w:t>Droop</w:t>
            </w:r>
            <w:r w:rsidR="00593D33" w:rsidRPr="00593D33">
              <w:rPr>
                <w:b/>
              </w:rPr>
              <w:t xml:space="preserve"> at 50%-</w:t>
            </w:r>
            <w:r w:rsidR="0006743E">
              <w:rPr>
                <w:b/>
              </w:rPr>
              <w:t>tile</w:t>
            </w:r>
          </w:p>
        </w:tc>
        <w:tc>
          <w:tcPr>
            <w:tcW w:w="1861" w:type="dxa"/>
            <w:vAlign w:val="center"/>
          </w:tcPr>
          <w:p w:rsidR="00593D33" w:rsidRPr="00593D33" w:rsidRDefault="00E17486" w:rsidP="00410190">
            <w:pPr>
              <w:spacing w:after="0"/>
              <w:jc w:val="center"/>
              <w:rPr>
                <w:b/>
              </w:rPr>
            </w:pPr>
            <w:r>
              <w:rPr>
                <w:b/>
              </w:rPr>
              <w:t>Droop</w:t>
            </w:r>
            <w:r w:rsidR="00593D33" w:rsidRPr="00593D33">
              <w:rPr>
                <w:b/>
              </w:rPr>
              <w:t xml:space="preserve"> at 20%-tile</w:t>
            </w:r>
          </w:p>
        </w:tc>
      </w:tr>
      <w:tr w:rsidR="00593D33" w:rsidTr="00410190">
        <w:trPr>
          <w:trHeight w:val="350"/>
          <w:jc w:val="center"/>
        </w:trPr>
        <w:tc>
          <w:tcPr>
            <w:tcW w:w="1066" w:type="dxa"/>
            <w:vAlign w:val="center"/>
          </w:tcPr>
          <w:p w:rsidR="00593D33" w:rsidRPr="0006743E" w:rsidRDefault="00593D33" w:rsidP="00410190">
            <w:pPr>
              <w:spacing w:after="0"/>
              <w:jc w:val="center"/>
              <w:rPr>
                <w:b/>
              </w:rPr>
            </w:pPr>
            <w:r w:rsidRPr="0006743E">
              <w:rPr>
                <w:b/>
              </w:rPr>
              <w:t>TR CFG</w:t>
            </w:r>
          </w:p>
        </w:tc>
        <w:tc>
          <w:tcPr>
            <w:tcW w:w="1861" w:type="dxa"/>
            <w:vAlign w:val="center"/>
          </w:tcPr>
          <w:p w:rsidR="00593D33" w:rsidRDefault="0006743E" w:rsidP="00410190">
            <w:pPr>
              <w:spacing w:after="0"/>
              <w:jc w:val="center"/>
            </w:pPr>
            <w:r>
              <w:t>5.6 dB</w:t>
            </w:r>
          </w:p>
        </w:tc>
        <w:tc>
          <w:tcPr>
            <w:tcW w:w="1861" w:type="dxa"/>
            <w:vAlign w:val="center"/>
          </w:tcPr>
          <w:p w:rsidR="00593D33" w:rsidRDefault="0006743E" w:rsidP="00410190">
            <w:pPr>
              <w:spacing w:after="0"/>
              <w:jc w:val="center"/>
            </w:pPr>
            <w:r>
              <w:t>10.2 dB</w:t>
            </w:r>
          </w:p>
        </w:tc>
      </w:tr>
      <w:tr w:rsidR="00593D33" w:rsidTr="00410190">
        <w:trPr>
          <w:trHeight w:val="351"/>
          <w:jc w:val="center"/>
        </w:trPr>
        <w:tc>
          <w:tcPr>
            <w:tcW w:w="1066" w:type="dxa"/>
            <w:vAlign w:val="center"/>
          </w:tcPr>
          <w:p w:rsidR="00593D33" w:rsidRPr="0006743E" w:rsidRDefault="00593D33" w:rsidP="00410190">
            <w:pPr>
              <w:spacing w:after="0"/>
              <w:jc w:val="center"/>
              <w:rPr>
                <w:b/>
              </w:rPr>
            </w:pPr>
            <w:r w:rsidRPr="0006743E">
              <w:rPr>
                <w:b/>
              </w:rPr>
              <w:t>CFG1</w:t>
            </w:r>
          </w:p>
        </w:tc>
        <w:tc>
          <w:tcPr>
            <w:tcW w:w="1861" w:type="dxa"/>
            <w:vAlign w:val="center"/>
          </w:tcPr>
          <w:p w:rsidR="00593D33" w:rsidRDefault="0006743E" w:rsidP="00410190">
            <w:pPr>
              <w:spacing w:after="0"/>
              <w:jc w:val="center"/>
            </w:pPr>
            <w:r>
              <w:t>11.7dB</w:t>
            </w:r>
          </w:p>
        </w:tc>
        <w:tc>
          <w:tcPr>
            <w:tcW w:w="1861" w:type="dxa"/>
            <w:vAlign w:val="center"/>
          </w:tcPr>
          <w:p w:rsidR="00593D33" w:rsidRDefault="0006743E" w:rsidP="00410190">
            <w:pPr>
              <w:spacing w:after="0"/>
              <w:jc w:val="center"/>
            </w:pPr>
            <w:r>
              <w:t>18.4 dB</w:t>
            </w:r>
          </w:p>
        </w:tc>
      </w:tr>
    </w:tbl>
    <w:p w:rsidR="00593D33" w:rsidRDefault="00593D33" w:rsidP="008761F2">
      <w:pPr>
        <w:jc w:val="both"/>
      </w:pPr>
    </w:p>
    <w:p w:rsidR="00155A8B" w:rsidRDefault="00155A8B" w:rsidP="008761F2">
      <w:pPr>
        <w:jc w:val="both"/>
      </w:pPr>
    </w:p>
    <w:p w:rsidR="00155A8B" w:rsidRDefault="00155A8B" w:rsidP="008761F2">
      <w:pPr>
        <w:jc w:val="both"/>
      </w:pPr>
    </w:p>
    <w:p w:rsidR="007120DE" w:rsidRDefault="009B7DE8">
      <w:pPr>
        <w:keepNext/>
        <w:jc w:val="center"/>
      </w:pPr>
      <w:r w:rsidRPr="009B7DE8">
        <w:t xml:space="preserve"> </w:t>
      </w:r>
      <w:r w:rsidRPr="009B7DE8">
        <w:rPr>
          <w:noProof/>
        </w:rPr>
        <w:drawing>
          <wp:inline distT="0" distB="0" distL="0" distR="0" wp14:anchorId="6E72A01C" wp14:editId="2DE0F5AD">
            <wp:extent cx="5325745" cy="3994150"/>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93D33" w:rsidRPr="00593D33" w:rsidRDefault="007120DE" w:rsidP="00C21129">
      <w:pPr>
        <w:rPr>
          <w:b/>
        </w:rPr>
      </w:pPr>
      <w:bookmarkStart w:id="10" w:name="_Ref510779342"/>
      <w:r w:rsidRPr="00C21129">
        <w:rPr>
          <w:b/>
        </w:rPr>
        <w:t xml:space="preserve">Figure </w:t>
      </w:r>
      <w:r w:rsidR="003733B8">
        <w:rPr>
          <w:b/>
        </w:rPr>
        <w:fldChar w:fldCharType="begin"/>
      </w:r>
      <w:r w:rsidR="003733B8">
        <w:rPr>
          <w:b/>
        </w:rPr>
        <w:instrText xml:space="preserve"> SEQ Figure \* ARABIC </w:instrText>
      </w:r>
      <w:r w:rsidR="003733B8">
        <w:rPr>
          <w:b/>
        </w:rPr>
        <w:fldChar w:fldCharType="separate"/>
      </w:r>
      <w:r w:rsidR="003733B8">
        <w:rPr>
          <w:b/>
          <w:noProof/>
        </w:rPr>
        <w:t>2</w:t>
      </w:r>
      <w:r w:rsidR="003733B8">
        <w:rPr>
          <w:b/>
        </w:rPr>
        <w:fldChar w:fldCharType="end"/>
      </w:r>
      <w:bookmarkEnd w:id="10"/>
      <w:r w:rsidRPr="00C21129">
        <w:rPr>
          <w:b/>
        </w:rPr>
        <w:t>. Antenna gains CDFs –  comparison among different panel configurations and TR 38.803 configuration</w:t>
      </w:r>
    </w:p>
    <w:p w:rsidR="00B33728" w:rsidRDefault="00C71EE3" w:rsidP="00B33728">
      <w:pPr>
        <w:jc w:val="both"/>
      </w:pPr>
      <w:r>
        <w:t xml:space="preserve">Since the TR CDF represents what we believe is achievable in terms of 20%-tile and 50%-tile performance, as documented in </w:t>
      </w:r>
      <w:r>
        <w:fldChar w:fldCharType="begin"/>
      </w:r>
      <w:r>
        <w:instrText xml:space="preserve"> REF _Ref510795223 \r \h </w:instrText>
      </w:r>
      <w:r>
        <w:fldChar w:fldCharType="separate"/>
      </w:r>
      <w:r>
        <w:t>[7]</w:t>
      </w:r>
      <w:r>
        <w:fldChar w:fldCharType="end"/>
      </w:r>
      <w:r>
        <w:t>, in the following we will consider the TR as a reference for multi-panel implementation.</w:t>
      </w:r>
    </w:p>
    <w:p w:rsidR="00C71EE3" w:rsidRPr="000479EC" w:rsidRDefault="00C71EE3" w:rsidP="00B33728">
      <w:pPr>
        <w:jc w:val="both"/>
        <w:rPr>
          <w:b/>
          <w:i/>
        </w:rPr>
      </w:pPr>
      <w:r w:rsidRPr="000479EC">
        <w:rPr>
          <w:b/>
          <w:i/>
        </w:rPr>
        <w:t xml:space="preserve">Observation </w:t>
      </w:r>
      <w:r w:rsidR="005D38FB">
        <w:rPr>
          <w:b/>
          <w:i/>
        </w:rPr>
        <w:t>3</w:t>
      </w:r>
      <w:r w:rsidRPr="000479EC">
        <w:rPr>
          <w:b/>
          <w:i/>
        </w:rPr>
        <w:t>:</w:t>
      </w:r>
      <w:r>
        <w:rPr>
          <w:b/>
          <w:i/>
        </w:rPr>
        <w:t xml:space="preserve"> the 20%-tile and 50%-tile droops characterizing the TR 38.803 CDF are consistent with our multi-panel CDF documented in </w:t>
      </w:r>
      <w:r w:rsidRPr="000479EC">
        <w:rPr>
          <w:b/>
          <w:i/>
        </w:rPr>
        <w:fldChar w:fldCharType="begin"/>
      </w:r>
      <w:r w:rsidRPr="000479EC">
        <w:rPr>
          <w:b/>
          <w:i/>
        </w:rPr>
        <w:instrText xml:space="preserve"> REF _Ref510795223 \r \h  \* MERGEFORMAT </w:instrText>
      </w:r>
      <w:r w:rsidRPr="000479EC">
        <w:rPr>
          <w:b/>
          <w:i/>
        </w:rPr>
      </w:r>
      <w:r w:rsidRPr="000479EC">
        <w:rPr>
          <w:b/>
          <w:i/>
        </w:rPr>
        <w:fldChar w:fldCharType="separate"/>
      </w:r>
      <w:r w:rsidRPr="000479EC">
        <w:rPr>
          <w:b/>
          <w:i/>
        </w:rPr>
        <w:t>[7]</w:t>
      </w:r>
      <w:r w:rsidRPr="000479EC">
        <w:rPr>
          <w:b/>
          <w:i/>
        </w:rPr>
        <w:fldChar w:fldCharType="end"/>
      </w:r>
      <w:r>
        <w:rPr>
          <w:b/>
          <w:i/>
        </w:rPr>
        <w:t>. As a consequence, we use the TR as a reference for multi-panel performance.</w:t>
      </w:r>
    </w:p>
    <w:p w:rsidR="009175DC" w:rsidRDefault="009175DC" w:rsidP="009175DC">
      <w:pPr>
        <w:pStyle w:val="Heading2"/>
        <w:rPr>
          <w:lang w:val="en-US"/>
        </w:rPr>
      </w:pPr>
      <w:bookmarkStart w:id="11" w:name="_Ref506813320"/>
      <w:r>
        <w:rPr>
          <w:lang w:val="en-US"/>
        </w:rPr>
        <w:t>Simulation results</w:t>
      </w:r>
      <w:bookmarkEnd w:id="11"/>
      <w:r>
        <w:rPr>
          <w:lang w:val="en-US"/>
        </w:rPr>
        <w:t xml:space="preserve"> </w:t>
      </w:r>
    </w:p>
    <w:p w:rsidR="00230C9B" w:rsidRDefault="00230C9B" w:rsidP="001F2E0B">
      <w:pPr>
        <w:jc w:val="both"/>
      </w:pPr>
      <w:r>
        <w:t xml:space="preserve">In the following sections, we consider simulation results for all three deployment scenarios. The focus is on the impact of </w:t>
      </w:r>
      <w:r w:rsidR="00FE3D08">
        <w:t xml:space="preserve">spherical coverage </w:t>
      </w:r>
      <w:r>
        <w:t>on NR network performance. The metric adopted are the following:</w:t>
      </w:r>
    </w:p>
    <w:p w:rsidR="00230C9B" w:rsidRPr="00900655" w:rsidRDefault="00230C9B" w:rsidP="007167BD">
      <w:pPr>
        <w:pStyle w:val="ListParagraph"/>
        <w:numPr>
          <w:ilvl w:val="0"/>
          <w:numId w:val="15"/>
        </w:numPr>
        <w:jc w:val="both"/>
        <w:rPr>
          <w:b/>
        </w:rPr>
      </w:pPr>
      <w:r w:rsidRPr="00900655">
        <w:rPr>
          <w:b/>
        </w:rPr>
        <w:t>SINR</w:t>
      </w:r>
    </w:p>
    <w:p w:rsidR="00230C9B" w:rsidRDefault="00230C9B" w:rsidP="007167BD">
      <w:pPr>
        <w:pStyle w:val="ListParagraph"/>
        <w:numPr>
          <w:ilvl w:val="0"/>
          <w:numId w:val="15"/>
        </w:numPr>
        <w:jc w:val="both"/>
      </w:pPr>
      <w:r w:rsidRPr="00900655">
        <w:rPr>
          <w:b/>
        </w:rPr>
        <w:t>Throughput</w:t>
      </w:r>
      <w:r>
        <w:t xml:space="preserve"> </w:t>
      </w:r>
      <w:r w:rsidRPr="00900655">
        <w:rPr>
          <w:b/>
        </w:rPr>
        <w:t xml:space="preserve">(both </w:t>
      </w:r>
      <w:r w:rsidR="00900655" w:rsidRPr="00900655">
        <w:rPr>
          <w:b/>
        </w:rPr>
        <w:t>mean</w:t>
      </w:r>
      <w:r w:rsidRPr="00900655">
        <w:rPr>
          <w:b/>
        </w:rPr>
        <w:t xml:space="preserve"> and 5% percentiles)</w:t>
      </w:r>
      <w:r w:rsidR="00900655">
        <w:t xml:space="preserve"> – zero throughput UEs are excluded.</w:t>
      </w:r>
    </w:p>
    <w:p w:rsidR="00FE2B91" w:rsidRDefault="00230C9B" w:rsidP="007167BD">
      <w:pPr>
        <w:pStyle w:val="ListParagraph"/>
        <w:numPr>
          <w:ilvl w:val="0"/>
          <w:numId w:val="15"/>
        </w:numPr>
        <w:jc w:val="both"/>
      </w:pPr>
      <w:r w:rsidRPr="00900655">
        <w:rPr>
          <w:b/>
        </w:rPr>
        <w:t>Outage</w:t>
      </w:r>
      <w:r w:rsidR="00900655">
        <w:t xml:space="preserve"> – as</w:t>
      </w:r>
      <w:r>
        <w:t xml:space="preserve"> specified in TR 38.803 a UE is considered in outage when </w:t>
      </w:r>
      <w:r w:rsidR="00900655">
        <w:t>throughput is 0.</w:t>
      </w:r>
    </w:p>
    <w:p w:rsidR="00FE2B91" w:rsidRDefault="000A3CC7" w:rsidP="00A07D1C">
      <w:pPr>
        <w:jc w:val="both"/>
      </w:pPr>
      <w:r>
        <w:t>The results presen</w:t>
      </w:r>
      <w:r w:rsidR="00593B2E">
        <w:t>t</w:t>
      </w:r>
      <w:r>
        <w:t>ed in the following sections are organized per deployment scenario (InH, UMi, UMa) and per link direction (DL and UL). Due to the large number of options for the configuration we will present a subset of our simulation campaign showing the most relevant results.</w:t>
      </w:r>
      <w:r w:rsidR="0066686D">
        <w:t xml:space="preserve"> </w:t>
      </w:r>
      <w:r w:rsidR="00E32FDB">
        <w:t>In particular, we will focus</w:t>
      </w:r>
      <w:r w:rsidR="003B38D9">
        <w:t xml:space="preserve"> on</w:t>
      </w:r>
      <w:r w:rsidR="00E32FDB">
        <w:t xml:space="preserve"> the “easiest” case, i.e. a configuration in which no hand </w:t>
      </w:r>
      <w:r w:rsidR="00593B2E">
        <w:t>blockage is</w:t>
      </w:r>
      <w:r w:rsidR="00E32FDB">
        <w:t xml:space="preserve"> considered. The goal is to show that even for this case, which represents an ideal scenario, the CDF based on multi-modules design presents significant gains.</w:t>
      </w:r>
    </w:p>
    <w:p w:rsidR="00E07F34" w:rsidRDefault="00EC0186" w:rsidP="001214B7">
      <w:pPr>
        <w:pStyle w:val="Heading3"/>
        <w:rPr>
          <w:lang w:val="en-US"/>
        </w:rPr>
      </w:pPr>
      <w:r w:rsidRPr="00D32E65">
        <w:rPr>
          <w:lang w:val="en-US"/>
        </w:rPr>
        <w:t>InH</w:t>
      </w:r>
    </w:p>
    <w:p w:rsidR="00E32FDB" w:rsidRDefault="00E32FDB" w:rsidP="00A07D1C">
      <w:pPr>
        <w:jc w:val="both"/>
        <w:rPr>
          <w:lang w:val="en-US"/>
        </w:rPr>
      </w:pPr>
      <w:r>
        <w:rPr>
          <w:lang w:val="en-US"/>
        </w:rPr>
        <w:t xml:space="preserve">InH scenario represents the easiest scenario in terms of coverage because of the very small average minimum distance between BS and UE. If hand blockage is not considered, the scenario is still </w:t>
      </w:r>
      <w:r w:rsidR="0062557A">
        <w:rPr>
          <w:lang w:val="en-US"/>
        </w:rPr>
        <w:t>interference</w:t>
      </w:r>
      <w:r>
        <w:rPr>
          <w:lang w:val="en-US"/>
        </w:rPr>
        <w:t xml:space="preserve"> limited. As a consequence</w:t>
      </w:r>
      <w:r w:rsidR="003B21FF">
        <w:rPr>
          <w:lang w:val="en-US"/>
        </w:rPr>
        <w:t xml:space="preserve"> we might think that</w:t>
      </w:r>
      <w:r>
        <w:rPr>
          <w:lang w:val="en-US"/>
        </w:rPr>
        <w:t xml:space="preserve"> the impact of spherical coverage </w:t>
      </w:r>
      <w:r w:rsidR="003B21FF">
        <w:rPr>
          <w:lang w:val="en-US"/>
        </w:rPr>
        <w:t xml:space="preserve">is limited. Our results show instead that </w:t>
      </w:r>
      <w:r w:rsidR="00341635">
        <w:rPr>
          <w:lang w:val="en-US"/>
        </w:rPr>
        <w:t xml:space="preserve">multi-module configurations </w:t>
      </w:r>
      <w:r w:rsidR="003B21FF">
        <w:rPr>
          <w:lang w:val="en-US"/>
        </w:rPr>
        <w:t>improve throughput performance significantly.</w:t>
      </w:r>
    </w:p>
    <w:p w:rsidR="009B7669" w:rsidRPr="00C21129" w:rsidRDefault="003B21FF" w:rsidP="00C21129">
      <w:pPr>
        <w:jc w:val="both"/>
        <w:rPr>
          <w:lang w:val="en-US"/>
        </w:rPr>
      </w:pPr>
      <w:r w:rsidRPr="00E42F49">
        <w:rPr>
          <w:lang w:val="en-US"/>
        </w:rPr>
        <w:lastRenderedPageBreak/>
        <w:t>Since this scenario is not affected by outage we focused on the performance of 200MHz channel BW case</w:t>
      </w:r>
      <w:r w:rsidR="009B7669">
        <w:rPr>
          <w:lang w:val="en-US"/>
        </w:rPr>
        <w:t xml:space="preserve">. </w:t>
      </w:r>
      <w:r w:rsidR="009B7669">
        <w:rPr>
          <w:lang w:val="en-US"/>
        </w:rPr>
        <w:fldChar w:fldCharType="begin"/>
      </w:r>
      <w:r w:rsidR="009B7669">
        <w:rPr>
          <w:lang w:val="en-US"/>
        </w:rPr>
        <w:instrText xml:space="preserve"> REF _Ref510686660 \h </w:instrText>
      </w:r>
      <w:r w:rsidR="009B7669">
        <w:rPr>
          <w:lang w:val="en-US"/>
        </w:rPr>
      </w:r>
      <w:r w:rsidR="009B7669">
        <w:rPr>
          <w:lang w:val="en-US"/>
        </w:rPr>
        <w:fldChar w:fldCharType="separate"/>
      </w:r>
      <w:r w:rsidR="00516FE0">
        <w:t xml:space="preserve">Figure </w:t>
      </w:r>
      <w:r w:rsidR="00516FE0">
        <w:rPr>
          <w:noProof/>
        </w:rPr>
        <w:t>3</w:t>
      </w:r>
      <w:r w:rsidR="009B7669">
        <w:rPr>
          <w:lang w:val="en-US"/>
        </w:rPr>
        <w:fldChar w:fldCharType="end"/>
      </w:r>
      <w:r w:rsidR="009B7669">
        <w:rPr>
          <w:lang w:val="en-US"/>
        </w:rPr>
        <w:t xml:space="preserve"> and  </w:t>
      </w:r>
      <w:r w:rsidR="009B7669">
        <w:rPr>
          <w:lang w:val="en-US"/>
        </w:rPr>
        <w:fldChar w:fldCharType="begin"/>
      </w:r>
      <w:r w:rsidR="009B7669">
        <w:rPr>
          <w:lang w:val="en-US"/>
        </w:rPr>
        <w:instrText xml:space="preserve"> REF _Ref510686665 \h </w:instrText>
      </w:r>
      <w:r w:rsidR="009B7669">
        <w:rPr>
          <w:lang w:val="en-US"/>
        </w:rPr>
      </w:r>
      <w:r w:rsidR="009B7669">
        <w:rPr>
          <w:lang w:val="en-US"/>
        </w:rPr>
        <w:fldChar w:fldCharType="separate"/>
      </w:r>
      <w:r w:rsidR="00516FE0">
        <w:t xml:space="preserve">Figure </w:t>
      </w:r>
      <w:r w:rsidR="00516FE0">
        <w:rPr>
          <w:noProof/>
        </w:rPr>
        <w:t>4</w:t>
      </w:r>
      <w:r w:rsidR="009B7669">
        <w:rPr>
          <w:lang w:val="en-US"/>
        </w:rPr>
        <w:fldChar w:fldCharType="end"/>
      </w:r>
      <w:r w:rsidR="009B7669">
        <w:rPr>
          <w:lang w:val="en-US"/>
        </w:rPr>
        <w:t xml:space="preserve"> show </w:t>
      </w:r>
      <w:r w:rsidR="0065439F">
        <w:rPr>
          <w:lang w:val="en-US"/>
        </w:rPr>
        <w:t>a comparison of</w:t>
      </w:r>
      <w:r w:rsidR="009B7669">
        <w:rPr>
          <w:lang w:val="en-US"/>
        </w:rPr>
        <w:t xml:space="preserve"> SINR CDFs for DL and UL </w:t>
      </w:r>
      <w:r w:rsidR="0065439F">
        <w:rPr>
          <w:lang w:val="en-US"/>
        </w:rPr>
        <w:t>scenarios, respectively.</w:t>
      </w:r>
    </w:p>
    <w:p w:rsidR="009B7669" w:rsidRDefault="002419BB" w:rsidP="00C21129">
      <w:pPr>
        <w:keepNext/>
        <w:jc w:val="center"/>
      </w:pPr>
      <w:r w:rsidRPr="002419BB">
        <w:t xml:space="preserve"> </w:t>
      </w:r>
      <w:r w:rsidRPr="002419BB">
        <w:rPr>
          <w:noProof/>
        </w:rPr>
        <w:drawing>
          <wp:inline distT="0" distB="0" distL="0" distR="0" wp14:anchorId="5C9BA718" wp14:editId="67ABC18D">
            <wp:extent cx="5325745" cy="3994150"/>
            <wp:effectExtent l="0" t="0" r="825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B7669" w:rsidRDefault="009B7669" w:rsidP="00C21129">
      <w:pPr>
        <w:pStyle w:val="Caption"/>
        <w:jc w:val="center"/>
        <w:rPr>
          <w:lang w:val="en-US"/>
        </w:rPr>
      </w:pPr>
      <w:bookmarkStart w:id="12" w:name="_Ref510686660"/>
      <w:r>
        <w:t xml:space="preserve">Figure </w:t>
      </w:r>
      <w:r w:rsidR="003733B8">
        <w:fldChar w:fldCharType="begin"/>
      </w:r>
      <w:r w:rsidR="003733B8">
        <w:instrText xml:space="preserve"> SEQ Figure \* ARABIC </w:instrText>
      </w:r>
      <w:r w:rsidR="003733B8">
        <w:fldChar w:fldCharType="separate"/>
      </w:r>
      <w:r w:rsidR="003733B8">
        <w:rPr>
          <w:noProof/>
        </w:rPr>
        <w:t>3</w:t>
      </w:r>
      <w:r w:rsidR="003733B8">
        <w:fldChar w:fldCharType="end"/>
      </w:r>
      <w:bookmarkEnd w:id="12"/>
      <w:r>
        <w:t xml:space="preserve">. SINR CDF </w:t>
      </w:r>
      <w:r w:rsidRPr="00295603">
        <w:t>comparison among different panel configurations</w:t>
      </w:r>
      <w:r w:rsidR="002419BB">
        <w:t xml:space="preserve"> </w:t>
      </w:r>
      <w:r>
        <w:t>– DL scenario</w:t>
      </w:r>
    </w:p>
    <w:p w:rsidR="009B7669" w:rsidRDefault="002419BB" w:rsidP="00C21129">
      <w:pPr>
        <w:keepNext/>
        <w:jc w:val="center"/>
      </w:pPr>
      <w:r w:rsidRPr="002419BB">
        <w:t xml:space="preserve"> </w:t>
      </w:r>
      <w:r w:rsidRPr="002419BB">
        <w:rPr>
          <w:noProof/>
        </w:rPr>
        <w:drawing>
          <wp:inline distT="0" distB="0" distL="0" distR="0" wp14:anchorId="3A245C19" wp14:editId="1F10C1B4">
            <wp:extent cx="5325745" cy="3994150"/>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B7669" w:rsidRPr="00E42F49" w:rsidRDefault="009B7669" w:rsidP="00C21129">
      <w:pPr>
        <w:pStyle w:val="Caption"/>
        <w:jc w:val="center"/>
        <w:rPr>
          <w:lang w:val="en-US"/>
        </w:rPr>
      </w:pPr>
      <w:bookmarkStart w:id="13" w:name="_Ref510686665"/>
      <w:r>
        <w:t xml:space="preserve">Figure </w:t>
      </w:r>
      <w:r w:rsidR="003733B8">
        <w:fldChar w:fldCharType="begin"/>
      </w:r>
      <w:r w:rsidR="003733B8">
        <w:instrText xml:space="preserve"> SEQ Figure \* ARABIC </w:instrText>
      </w:r>
      <w:r w:rsidR="003733B8">
        <w:fldChar w:fldCharType="separate"/>
      </w:r>
      <w:r w:rsidR="003733B8">
        <w:rPr>
          <w:noProof/>
        </w:rPr>
        <w:t>4</w:t>
      </w:r>
      <w:r w:rsidR="003733B8">
        <w:fldChar w:fldCharType="end"/>
      </w:r>
      <w:bookmarkEnd w:id="13"/>
      <w:r>
        <w:t xml:space="preserve">. </w:t>
      </w:r>
      <w:r w:rsidRPr="00BC73C6">
        <w:t>SINR CDF comparison among different panel configurations</w:t>
      </w:r>
      <w:r w:rsidR="002419BB">
        <w:t xml:space="preserve"> </w:t>
      </w:r>
      <w:r w:rsidRPr="00BC73C6">
        <w:t xml:space="preserve">– </w:t>
      </w:r>
      <w:r>
        <w:t>U</w:t>
      </w:r>
      <w:r w:rsidRPr="00BC73C6">
        <w:t>L scenario</w:t>
      </w:r>
    </w:p>
    <w:p w:rsidR="002419BB" w:rsidRDefault="002419BB" w:rsidP="00592018">
      <w:pPr>
        <w:jc w:val="both"/>
        <w:rPr>
          <w:lang w:val="en-US"/>
        </w:rPr>
      </w:pPr>
    </w:p>
    <w:p w:rsidR="0065439F" w:rsidRDefault="0065439F" w:rsidP="00592018">
      <w:pPr>
        <w:jc w:val="both"/>
        <w:rPr>
          <w:lang w:val="en-US"/>
        </w:rPr>
      </w:pPr>
      <w:r>
        <w:rPr>
          <w:lang w:val="en-US"/>
        </w:rPr>
        <w:t xml:space="preserve">Notice that, despite any additional losses was considered, the gap at 5%-tile between single module and multi module configurations is as large as </w:t>
      </w:r>
      <w:r w:rsidR="002419BB">
        <w:rPr>
          <w:lang w:val="en-US"/>
        </w:rPr>
        <w:t xml:space="preserve">4dB </w:t>
      </w:r>
      <w:r>
        <w:rPr>
          <w:lang w:val="en-US"/>
        </w:rPr>
        <w:t>for both DL and UL cases.</w:t>
      </w:r>
    </w:p>
    <w:p w:rsidR="00592018" w:rsidRDefault="0065439F" w:rsidP="00A07D1C">
      <w:pPr>
        <w:jc w:val="both"/>
        <w:rPr>
          <w:lang w:val="en-US"/>
        </w:rPr>
      </w:pPr>
      <w:r>
        <w:rPr>
          <w:lang w:val="en-US"/>
        </w:rPr>
        <w:t xml:space="preserve">In terms of throughput, the differences are summarized in </w:t>
      </w:r>
      <w:r w:rsidR="00592018" w:rsidRPr="00E42F49">
        <w:rPr>
          <w:lang w:val="en-US"/>
        </w:rPr>
        <w:fldChar w:fldCharType="begin"/>
      </w:r>
      <w:r w:rsidR="00592018" w:rsidRPr="00E42F49">
        <w:rPr>
          <w:lang w:val="en-US"/>
        </w:rPr>
        <w:instrText xml:space="preserve"> REF _Ref506802689 \h </w:instrText>
      </w:r>
      <w:r w:rsidR="00E42F49" w:rsidRPr="00E42F49">
        <w:rPr>
          <w:lang w:val="en-US"/>
        </w:rPr>
        <w:instrText xml:space="preserve"> \* MERGEFORMAT </w:instrText>
      </w:r>
      <w:r w:rsidR="00592018" w:rsidRPr="00E42F49">
        <w:rPr>
          <w:lang w:val="en-US"/>
        </w:rPr>
      </w:r>
      <w:r w:rsidR="00592018" w:rsidRPr="00E42F49">
        <w:rPr>
          <w:lang w:val="en-US"/>
        </w:rPr>
        <w:fldChar w:fldCharType="separate"/>
      </w:r>
      <w:r w:rsidR="00516FE0">
        <w:t xml:space="preserve">Table </w:t>
      </w:r>
      <w:r w:rsidR="00516FE0">
        <w:rPr>
          <w:noProof/>
        </w:rPr>
        <w:t>3</w:t>
      </w:r>
      <w:r w:rsidR="00592018" w:rsidRPr="00E42F49">
        <w:rPr>
          <w:lang w:val="en-US"/>
        </w:rPr>
        <w:fldChar w:fldCharType="end"/>
      </w:r>
      <w:r w:rsidR="00F556A3">
        <w:rPr>
          <w:lang w:val="en-US"/>
        </w:rPr>
        <w:t xml:space="preserve">. </w:t>
      </w:r>
      <w:r w:rsidR="006265A4">
        <w:rPr>
          <w:lang w:val="en-US"/>
        </w:rPr>
        <w:t>It reports</w:t>
      </w:r>
      <w:r w:rsidR="00F0581B" w:rsidRPr="00E42F49">
        <w:rPr>
          <w:lang w:val="en-US"/>
        </w:rPr>
        <w:t xml:space="preserve"> the DL</w:t>
      </w:r>
      <w:r w:rsidR="00592018" w:rsidRPr="00E42F49">
        <w:rPr>
          <w:lang w:val="en-US"/>
        </w:rPr>
        <w:t>/UL</w:t>
      </w:r>
      <w:r w:rsidR="00F0581B" w:rsidRPr="00E42F49">
        <w:rPr>
          <w:lang w:val="en-US"/>
        </w:rPr>
        <w:t xml:space="preserve"> average and 5%-tile throughput performance</w:t>
      </w:r>
      <w:r w:rsidR="006265A4">
        <w:rPr>
          <w:lang w:val="en-US"/>
        </w:rPr>
        <w:t xml:space="preserve"> gain with multi-panel configuration</w:t>
      </w:r>
      <w:r w:rsidR="00F0581B" w:rsidRPr="00E42F49">
        <w:rPr>
          <w:lang w:val="en-US"/>
        </w:rPr>
        <w:t xml:space="preserve">. As it can be observed, </w:t>
      </w:r>
      <w:r w:rsidR="00592018" w:rsidRPr="00E42F49">
        <w:rPr>
          <w:lang w:val="en-US"/>
        </w:rPr>
        <w:t xml:space="preserve">for the DL case, </w:t>
      </w:r>
      <w:r w:rsidR="00F0581B" w:rsidRPr="00E42F49">
        <w:rPr>
          <w:lang w:val="en-US"/>
        </w:rPr>
        <w:t xml:space="preserve">a UE based on </w:t>
      </w:r>
      <w:r w:rsidR="00E91094">
        <w:rPr>
          <w:lang w:val="en-US"/>
        </w:rPr>
        <w:t>TR CFG</w:t>
      </w:r>
      <w:r w:rsidR="00E91094" w:rsidRPr="00E42F49">
        <w:rPr>
          <w:lang w:val="en-US"/>
        </w:rPr>
        <w:t xml:space="preserve"> </w:t>
      </w:r>
      <w:r w:rsidR="00F0581B" w:rsidRPr="00E42F49">
        <w:rPr>
          <w:lang w:val="en-US"/>
        </w:rPr>
        <w:t xml:space="preserve">has </w:t>
      </w:r>
      <w:r w:rsidR="00E91094">
        <w:rPr>
          <w:lang w:val="en-US"/>
        </w:rPr>
        <w:t>11.4</w:t>
      </w:r>
      <w:r w:rsidR="00F0581B" w:rsidRPr="00E42F49">
        <w:rPr>
          <w:lang w:val="en-US"/>
        </w:rPr>
        <w:t xml:space="preserve">% average throughput gain and </w:t>
      </w:r>
      <w:r w:rsidR="00E91094">
        <w:rPr>
          <w:lang w:val="en-US"/>
        </w:rPr>
        <w:t>26</w:t>
      </w:r>
      <w:r w:rsidR="002C5195">
        <w:rPr>
          <w:lang w:val="en-US"/>
        </w:rPr>
        <w:t>.5</w:t>
      </w:r>
      <w:r w:rsidR="00F0581B" w:rsidRPr="00E42F49">
        <w:rPr>
          <w:lang w:val="en-US"/>
        </w:rPr>
        <w:t xml:space="preserve">% gain at the 5%-tile point. </w:t>
      </w:r>
      <w:r w:rsidR="00592018" w:rsidRPr="00E42F49">
        <w:rPr>
          <w:lang w:val="en-US"/>
        </w:rPr>
        <w:t xml:space="preserve">On the other hand, for the UL scenario, the multi-panel configuration shows up </w:t>
      </w:r>
      <w:r w:rsidR="002C5195">
        <w:rPr>
          <w:lang w:val="en-US"/>
        </w:rPr>
        <w:t xml:space="preserve">to </w:t>
      </w:r>
      <w:r w:rsidR="00E91094">
        <w:rPr>
          <w:lang w:val="en-US"/>
        </w:rPr>
        <w:t>30</w:t>
      </w:r>
      <w:r w:rsidR="00592018" w:rsidRPr="00E42F49">
        <w:rPr>
          <w:lang w:val="en-US"/>
        </w:rPr>
        <w:t>% throughput gain for the 5%-tile.</w:t>
      </w:r>
      <w:r w:rsidR="00592018">
        <w:rPr>
          <w:lang w:val="en-US"/>
        </w:rPr>
        <w:t xml:space="preserve">  </w:t>
      </w:r>
    </w:p>
    <w:p w:rsidR="00592018" w:rsidRDefault="00592018" w:rsidP="00A07D1C">
      <w:pPr>
        <w:pStyle w:val="Caption"/>
        <w:keepNext/>
        <w:jc w:val="center"/>
      </w:pPr>
      <w:bookmarkStart w:id="14" w:name="_Ref506802689"/>
      <w:r>
        <w:t xml:space="preserve">Table </w:t>
      </w:r>
      <w:r>
        <w:fldChar w:fldCharType="begin"/>
      </w:r>
      <w:r>
        <w:instrText xml:space="preserve"> SEQ Table \* ARABIC </w:instrText>
      </w:r>
      <w:r>
        <w:fldChar w:fldCharType="separate"/>
      </w:r>
      <w:r w:rsidR="00516FE0">
        <w:rPr>
          <w:noProof/>
        </w:rPr>
        <w:t>3</w:t>
      </w:r>
      <w:r>
        <w:fldChar w:fldCharType="end"/>
      </w:r>
      <w:bookmarkEnd w:id="14"/>
      <w:r>
        <w:t>. Throughput performance in InH scenario - no blockage.</w:t>
      </w:r>
    </w:p>
    <w:tbl>
      <w:tblPr>
        <w:tblW w:w="0" w:type="auto"/>
        <w:jc w:val="center"/>
        <w:tblLook w:val="04A0" w:firstRow="1" w:lastRow="0" w:firstColumn="1" w:lastColumn="0" w:noHBand="0" w:noVBand="1"/>
      </w:tblPr>
      <w:tblGrid>
        <w:gridCol w:w="494"/>
        <w:gridCol w:w="1016"/>
        <w:gridCol w:w="916"/>
        <w:gridCol w:w="1644"/>
        <w:gridCol w:w="1138"/>
        <w:gridCol w:w="739"/>
        <w:gridCol w:w="1644"/>
      </w:tblGrid>
      <w:tr w:rsidR="006265A4" w:rsidRPr="00EF4A8B" w:rsidTr="00410190">
        <w:trPr>
          <w:trHeight w:val="300"/>
          <w:jc w:val="center"/>
        </w:trPr>
        <w:tc>
          <w:tcPr>
            <w:tcW w:w="0" w:type="auto"/>
            <w:tcBorders>
              <w:top w:val="nil"/>
              <w:left w:val="nil"/>
              <w:bottom w:val="nil"/>
              <w:right w:val="nil"/>
            </w:tcBorders>
            <w:shd w:val="clear" w:color="auto" w:fill="auto"/>
            <w:noWrap/>
            <w:vAlign w:val="bottom"/>
            <w:hideMark/>
          </w:tcPr>
          <w:p w:rsidR="006265A4" w:rsidRPr="00A07D1C" w:rsidRDefault="006265A4" w:rsidP="00592018">
            <w:pPr>
              <w:spacing w:after="0"/>
              <w:rPr>
                <w:szCs w:val="24"/>
                <w:lang w:val="en-US"/>
              </w:rPr>
            </w:pPr>
          </w:p>
        </w:tc>
        <w:tc>
          <w:tcPr>
            <w:tcW w:w="3576" w:type="dxa"/>
            <w:gridSpan w:val="3"/>
            <w:tcBorders>
              <w:top w:val="single" w:sz="8" w:space="0" w:color="auto"/>
              <w:left w:val="single" w:sz="8" w:space="0" w:color="auto"/>
              <w:bottom w:val="single" w:sz="8" w:space="0" w:color="auto"/>
              <w:right w:val="single" w:sz="8" w:space="0" w:color="000000"/>
            </w:tcBorders>
          </w:tcPr>
          <w:p w:rsidR="006265A4" w:rsidRPr="00A07D1C" w:rsidRDefault="006265A4" w:rsidP="00592018">
            <w:pPr>
              <w:spacing w:after="0"/>
              <w:jc w:val="center"/>
              <w:rPr>
                <w:b/>
                <w:bCs/>
                <w:color w:val="000000"/>
                <w:szCs w:val="22"/>
                <w:lang w:val="en-US"/>
              </w:rPr>
            </w:pPr>
            <w:r w:rsidRPr="00A07D1C">
              <w:rPr>
                <w:b/>
                <w:bCs/>
                <w:color w:val="000000"/>
                <w:szCs w:val="24"/>
                <w:lang w:val="en-US"/>
              </w:rPr>
              <w:t>Average Throughput</w:t>
            </w:r>
            <w:r>
              <w:rPr>
                <w:b/>
                <w:bCs/>
                <w:color w:val="000000"/>
                <w:szCs w:val="24"/>
                <w:lang w:val="en-US"/>
              </w:rPr>
              <w:t xml:space="preserve"> [bit/s/Hz]</w:t>
            </w:r>
          </w:p>
        </w:tc>
        <w:tc>
          <w:tcPr>
            <w:tcW w:w="0" w:type="auto"/>
            <w:gridSpan w:val="3"/>
            <w:tcBorders>
              <w:top w:val="single" w:sz="8" w:space="0" w:color="auto"/>
              <w:left w:val="nil"/>
              <w:bottom w:val="single" w:sz="4" w:space="0" w:color="auto"/>
              <w:right w:val="single" w:sz="8" w:space="0" w:color="000000"/>
            </w:tcBorders>
          </w:tcPr>
          <w:p w:rsidR="006265A4" w:rsidRPr="00A07D1C" w:rsidRDefault="006265A4" w:rsidP="00592018">
            <w:pPr>
              <w:spacing w:after="0"/>
              <w:jc w:val="center"/>
              <w:rPr>
                <w:b/>
                <w:bCs/>
                <w:color w:val="000000"/>
                <w:szCs w:val="22"/>
                <w:lang w:val="en-US"/>
              </w:rPr>
            </w:pPr>
            <w:r w:rsidRPr="00A07D1C">
              <w:rPr>
                <w:b/>
                <w:bCs/>
                <w:color w:val="000000"/>
                <w:szCs w:val="24"/>
                <w:lang w:val="en-US"/>
              </w:rPr>
              <w:t>5%-tile Throughput</w:t>
            </w:r>
            <w:r>
              <w:rPr>
                <w:b/>
                <w:bCs/>
                <w:color w:val="000000"/>
                <w:szCs w:val="24"/>
                <w:lang w:val="en-US"/>
              </w:rPr>
              <w:t xml:space="preserve"> [bit/s/Hz]</w:t>
            </w:r>
          </w:p>
        </w:tc>
      </w:tr>
      <w:tr w:rsidR="002419BB" w:rsidRPr="00EF4A8B" w:rsidTr="00410190">
        <w:trPr>
          <w:trHeight w:val="300"/>
          <w:jc w:val="center"/>
        </w:trPr>
        <w:tc>
          <w:tcPr>
            <w:tcW w:w="0" w:type="auto"/>
            <w:tcBorders>
              <w:top w:val="nil"/>
              <w:left w:val="nil"/>
              <w:bottom w:val="nil"/>
              <w:right w:val="nil"/>
            </w:tcBorders>
            <w:shd w:val="clear" w:color="auto" w:fill="auto"/>
            <w:noWrap/>
            <w:vAlign w:val="bottom"/>
            <w:hideMark/>
          </w:tcPr>
          <w:p w:rsidR="002419BB" w:rsidRPr="00A07D1C" w:rsidRDefault="002419BB" w:rsidP="00592018">
            <w:pPr>
              <w:spacing w:after="0"/>
              <w:jc w:val="center"/>
              <w:rPr>
                <w:b/>
                <w:bCs/>
                <w:color w:val="000000"/>
                <w:szCs w:val="22"/>
                <w:lang w:val="en-US"/>
              </w:rPr>
            </w:pPr>
          </w:p>
        </w:tc>
        <w:tc>
          <w:tcPr>
            <w:tcW w:w="0" w:type="auto"/>
            <w:tcBorders>
              <w:top w:val="nil"/>
              <w:left w:val="single" w:sz="8" w:space="0" w:color="auto"/>
              <w:bottom w:val="single" w:sz="8" w:space="0" w:color="auto"/>
              <w:right w:val="single" w:sz="8" w:space="0" w:color="auto"/>
            </w:tcBorders>
          </w:tcPr>
          <w:p w:rsidR="002419BB" w:rsidRPr="00A07D1C" w:rsidRDefault="002419BB" w:rsidP="00592018">
            <w:pPr>
              <w:spacing w:after="0"/>
              <w:jc w:val="center"/>
              <w:rPr>
                <w:b/>
                <w:bCs/>
                <w:color w:val="000000"/>
                <w:szCs w:val="24"/>
                <w:lang w:val="en-US"/>
              </w:rPr>
            </w:pPr>
            <w:r>
              <w:rPr>
                <w:b/>
                <w:bCs/>
                <w:color w:val="000000"/>
                <w:szCs w:val="24"/>
                <w:lang w:val="en-US"/>
              </w:rPr>
              <w:t>TR reference</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2419BB" w:rsidRPr="00A07D1C" w:rsidRDefault="002419BB" w:rsidP="00592018">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rsidR="002419BB" w:rsidRPr="00A07D1C" w:rsidRDefault="002419BB" w:rsidP="00592018">
            <w:pPr>
              <w:spacing w:after="0"/>
              <w:jc w:val="center"/>
              <w:rPr>
                <w:b/>
                <w:bCs/>
                <w:color w:val="000000"/>
                <w:szCs w:val="22"/>
                <w:lang w:val="en-US"/>
              </w:rPr>
            </w:pPr>
            <w:r w:rsidRPr="00A07D1C">
              <w:rPr>
                <w:b/>
                <w:bCs/>
                <w:color w:val="000000"/>
                <w:szCs w:val="24"/>
                <w:lang w:val="en-US"/>
              </w:rPr>
              <w:t>Multi-panel gain</w:t>
            </w:r>
          </w:p>
        </w:tc>
        <w:tc>
          <w:tcPr>
            <w:tcW w:w="1138" w:type="dxa"/>
            <w:tcBorders>
              <w:top w:val="single" w:sz="4" w:space="0" w:color="auto"/>
              <w:left w:val="nil"/>
              <w:bottom w:val="single" w:sz="8" w:space="0" w:color="auto"/>
              <w:right w:val="single" w:sz="4" w:space="0" w:color="auto"/>
            </w:tcBorders>
          </w:tcPr>
          <w:p w:rsidR="002419BB" w:rsidRPr="00A07D1C" w:rsidRDefault="002419BB" w:rsidP="00592018">
            <w:pPr>
              <w:spacing w:after="0"/>
              <w:jc w:val="center"/>
              <w:rPr>
                <w:b/>
                <w:bCs/>
                <w:color w:val="000000"/>
                <w:szCs w:val="24"/>
                <w:lang w:val="en-US"/>
              </w:rPr>
            </w:pPr>
            <w:r>
              <w:rPr>
                <w:b/>
                <w:bCs/>
                <w:color w:val="000000"/>
                <w:szCs w:val="24"/>
                <w:lang w:val="en-US"/>
              </w:rPr>
              <w:t xml:space="preserve">TR </w:t>
            </w:r>
            <w:r>
              <w:rPr>
                <w:b/>
                <w:bCs/>
                <w:color w:val="000000"/>
                <w:szCs w:val="24"/>
                <w:lang w:val="en-US"/>
              </w:rPr>
              <w:br/>
              <w:t>reference</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rsidR="002419BB" w:rsidRPr="00A07D1C" w:rsidRDefault="002419BB" w:rsidP="00592018">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rsidR="002419BB" w:rsidRPr="00A07D1C" w:rsidRDefault="002419BB" w:rsidP="00592018">
            <w:pPr>
              <w:spacing w:after="0"/>
              <w:jc w:val="center"/>
              <w:rPr>
                <w:b/>
                <w:bCs/>
                <w:color w:val="000000"/>
                <w:szCs w:val="22"/>
                <w:lang w:val="en-US"/>
              </w:rPr>
            </w:pPr>
            <w:r w:rsidRPr="00A07D1C">
              <w:rPr>
                <w:b/>
                <w:bCs/>
                <w:color w:val="000000"/>
                <w:szCs w:val="24"/>
                <w:lang w:val="en-US"/>
              </w:rPr>
              <w:t>Multi-panel gain</w:t>
            </w:r>
          </w:p>
        </w:tc>
      </w:tr>
      <w:tr w:rsidR="002419BB" w:rsidRPr="00EF4A8B" w:rsidTr="00410190">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419BB" w:rsidRPr="00A07D1C" w:rsidRDefault="002419BB" w:rsidP="006265A4">
            <w:pPr>
              <w:spacing w:after="0"/>
              <w:jc w:val="center"/>
              <w:rPr>
                <w:b/>
                <w:bCs/>
                <w:color w:val="000000"/>
                <w:szCs w:val="22"/>
                <w:lang w:val="en-US"/>
              </w:rPr>
            </w:pPr>
            <w:r w:rsidRPr="00A07D1C">
              <w:rPr>
                <w:b/>
                <w:bCs/>
                <w:color w:val="000000"/>
                <w:szCs w:val="22"/>
                <w:lang w:val="en-US"/>
              </w:rPr>
              <w:t>DL</w:t>
            </w:r>
          </w:p>
        </w:tc>
        <w:tc>
          <w:tcPr>
            <w:tcW w:w="0" w:type="auto"/>
            <w:tcBorders>
              <w:top w:val="single" w:sz="8" w:space="0" w:color="auto"/>
              <w:left w:val="nil"/>
              <w:bottom w:val="single" w:sz="8" w:space="0" w:color="auto"/>
              <w:right w:val="single" w:sz="4" w:space="0" w:color="auto"/>
            </w:tcBorders>
          </w:tcPr>
          <w:p w:rsidR="002419BB" w:rsidRPr="00A07D1C" w:rsidRDefault="002419BB" w:rsidP="006265A4">
            <w:pPr>
              <w:spacing w:after="0"/>
              <w:jc w:val="center"/>
              <w:rPr>
                <w:color w:val="000000"/>
                <w:szCs w:val="24"/>
                <w:lang w:val="en-US"/>
              </w:rPr>
            </w:pPr>
            <w:r w:rsidRPr="006C5BBD">
              <w:t>4.97</w:t>
            </w:r>
          </w:p>
        </w:tc>
        <w:tc>
          <w:tcPr>
            <w:tcW w:w="0" w:type="auto"/>
            <w:tcBorders>
              <w:top w:val="nil"/>
              <w:left w:val="single" w:sz="4" w:space="0" w:color="auto"/>
              <w:bottom w:val="single" w:sz="8" w:space="0" w:color="auto"/>
              <w:right w:val="single" w:sz="8" w:space="0" w:color="auto"/>
            </w:tcBorders>
            <w:shd w:val="clear" w:color="auto" w:fill="auto"/>
            <w:noWrap/>
          </w:tcPr>
          <w:p w:rsidR="002419BB" w:rsidRPr="00A07D1C" w:rsidRDefault="002419BB" w:rsidP="006265A4">
            <w:pPr>
              <w:spacing w:after="0"/>
              <w:jc w:val="center"/>
              <w:rPr>
                <w:color w:val="000000"/>
                <w:szCs w:val="22"/>
                <w:lang w:val="en-US"/>
              </w:rPr>
            </w:pPr>
            <w:r w:rsidRPr="006C5BBD">
              <w:t>4.40</w:t>
            </w:r>
          </w:p>
        </w:tc>
        <w:tc>
          <w:tcPr>
            <w:tcW w:w="0" w:type="auto"/>
            <w:tcBorders>
              <w:top w:val="nil"/>
              <w:left w:val="nil"/>
              <w:bottom w:val="single" w:sz="8" w:space="0" w:color="auto"/>
              <w:right w:val="single" w:sz="8" w:space="0" w:color="auto"/>
            </w:tcBorders>
            <w:shd w:val="clear" w:color="auto" w:fill="auto"/>
            <w:noWrap/>
          </w:tcPr>
          <w:p w:rsidR="002419BB" w:rsidRPr="00A07D1C" w:rsidRDefault="003D609F" w:rsidP="006265A4">
            <w:pPr>
              <w:spacing w:after="0"/>
              <w:jc w:val="center"/>
              <w:rPr>
                <w:color w:val="000000"/>
                <w:szCs w:val="22"/>
                <w:lang w:val="en-US"/>
              </w:rPr>
            </w:pPr>
            <w:r>
              <w:t>11.4</w:t>
            </w:r>
            <w:r w:rsidR="002419BB" w:rsidRPr="006C5BBD">
              <w:t>%</w:t>
            </w:r>
          </w:p>
        </w:tc>
        <w:tc>
          <w:tcPr>
            <w:tcW w:w="1138" w:type="dxa"/>
            <w:tcBorders>
              <w:top w:val="single" w:sz="8" w:space="0" w:color="auto"/>
              <w:left w:val="nil"/>
              <w:bottom w:val="single" w:sz="8" w:space="0" w:color="auto"/>
              <w:right w:val="single" w:sz="4" w:space="0" w:color="auto"/>
            </w:tcBorders>
          </w:tcPr>
          <w:p w:rsidR="002419BB" w:rsidRPr="00A07D1C" w:rsidDel="006265A4" w:rsidRDefault="002419BB" w:rsidP="006265A4">
            <w:pPr>
              <w:spacing w:after="0"/>
              <w:jc w:val="center"/>
              <w:rPr>
                <w:color w:val="000000"/>
                <w:szCs w:val="24"/>
                <w:lang w:val="en-US"/>
              </w:rPr>
            </w:pPr>
            <w:r w:rsidRPr="00A33CB7">
              <w:t>2.31</w:t>
            </w:r>
          </w:p>
        </w:tc>
        <w:tc>
          <w:tcPr>
            <w:tcW w:w="0" w:type="auto"/>
            <w:tcBorders>
              <w:top w:val="nil"/>
              <w:left w:val="single" w:sz="4" w:space="0" w:color="auto"/>
              <w:bottom w:val="single" w:sz="8" w:space="0" w:color="auto"/>
              <w:right w:val="single" w:sz="8" w:space="0" w:color="auto"/>
            </w:tcBorders>
            <w:shd w:val="clear" w:color="auto" w:fill="auto"/>
            <w:noWrap/>
          </w:tcPr>
          <w:p w:rsidR="002419BB" w:rsidRPr="00A07D1C" w:rsidRDefault="002419BB" w:rsidP="006265A4">
            <w:pPr>
              <w:spacing w:after="0"/>
              <w:jc w:val="center"/>
              <w:rPr>
                <w:color w:val="000000"/>
                <w:szCs w:val="22"/>
                <w:lang w:val="en-US"/>
              </w:rPr>
            </w:pPr>
            <w:r w:rsidRPr="00A33CB7">
              <w:t>1.70</w:t>
            </w:r>
          </w:p>
        </w:tc>
        <w:tc>
          <w:tcPr>
            <w:tcW w:w="0" w:type="auto"/>
            <w:tcBorders>
              <w:top w:val="nil"/>
              <w:left w:val="nil"/>
              <w:bottom w:val="single" w:sz="8" w:space="0" w:color="auto"/>
              <w:right w:val="single" w:sz="8" w:space="0" w:color="auto"/>
            </w:tcBorders>
            <w:shd w:val="clear" w:color="auto" w:fill="auto"/>
            <w:noWrap/>
          </w:tcPr>
          <w:p w:rsidR="002419BB" w:rsidRPr="00A07D1C" w:rsidRDefault="003D609F" w:rsidP="006265A4">
            <w:pPr>
              <w:spacing w:after="0"/>
              <w:jc w:val="center"/>
              <w:rPr>
                <w:color w:val="000000"/>
                <w:szCs w:val="22"/>
                <w:lang w:val="en-US"/>
              </w:rPr>
            </w:pPr>
            <w:r>
              <w:t>26.5</w:t>
            </w:r>
            <w:r w:rsidR="002419BB" w:rsidRPr="00A33CB7">
              <w:t>%</w:t>
            </w:r>
          </w:p>
        </w:tc>
      </w:tr>
      <w:tr w:rsidR="002419BB" w:rsidRPr="00EF4A8B" w:rsidTr="00410190">
        <w:trPr>
          <w:trHeight w:val="30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2419BB" w:rsidRPr="00A07D1C" w:rsidRDefault="002419BB" w:rsidP="006265A4">
            <w:pPr>
              <w:spacing w:after="0"/>
              <w:jc w:val="center"/>
              <w:rPr>
                <w:b/>
                <w:bCs/>
                <w:color w:val="000000"/>
                <w:szCs w:val="22"/>
                <w:lang w:val="en-US"/>
              </w:rPr>
            </w:pPr>
            <w:r w:rsidRPr="00A07D1C">
              <w:rPr>
                <w:b/>
                <w:bCs/>
                <w:color w:val="000000"/>
                <w:szCs w:val="22"/>
                <w:lang w:val="en-US"/>
              </w:rPr>
              <w:t>UL</w:t>
            </w:r>
          </w:p>
        </w:tc>
        <w:tc>
          <w:tcPr>
            <w:tcW w:w="1016" w:type="dxa"/>
            <w:tcBorders>
              <w:top w:val="single" w:sz="8" w:space="0" w:color="auto"/>
              <w:left w:val="nil"/>
              <w:bottom w:val="single" w:sz="8" w:space="0" w:color="auto"/>
              <w:right w:val="single" w:sz="4" w:space="0" w:color="auto"/>
            </w:tcBorders>
            <w:vAlign w:val="center"/>
          </w:tcPr>
          <w:p w:rsidR="002419BB" w:rsidRPr="00A07D1C" w:rsidRDefault="002419BB" w:rsidP="00C21129">
            <w:pPr>
              <w:spacing w:after="0"/>
              <w:jc w:val="center"/>
              <w:rPr>
                <w:color w:val="000000"/>
                <w:szCs w:val="24"/>
                <w:lang w:val="en-US"/>
              </w:rPr>
            </w:pPr>
            <w:r>
              <w:rPr>
                <w:color w:val="000000"/>
              </w:rPr>
              <w:t>2.53</w:t>
            </w:r>
          </w:p>
        </w:tc>
        <w:tc>
          <w:tcPr>
            <w:tcW w:w="916" w:type="dxa"/>
            <w:tcBorders>
              <w:top w:val="nil"/>
              <w:left w:val="single" w:sz="4" w:space="0" w:color="auto"/>
              <w:bottom w:val="single" w:sz="8" w:space="0" w:color="auto"/>
              <w:right w:val="single" w:sz="8" w:space="0" w:color="auto"/>
            </w:tcBorders>
            <w:shd w:val="clear" w:color="auto" w:fill="auto"/>
            <w:noWrap/>
            <w:vAlign w:val="center"/>
            <w:hideMark/>
          </w:tcPr>
          <w:p w:rsidR="002419BB" w:rsidRPr="00A07D1C" w:rsidRDefault="002419BB" w:rsidP="00C21129">
            <w:pPr>
              <w:spacing w:after="0"/>
              <w:jc w:val="center"/>
              <w:rPr>
                <w:color w:val="000000"/>
                <w:szCs w:val="22"/>
                <w:lang w:val="en-US"/>
              </w:rPr>
            </w:pPr>
            <w:r>
              <w:rPr>
                <w:color w:val="000000"/>
              </w:rPr>
              <w:t>2.33</w:t>
            </w:r>
          </w:p>
        </w:tc>
        <w:tc>
          <w:tcPr>
            <w:tcW w:w="0" w:type="auto"/>
            <w:tcBorders>
              <w:top w:val="nil"/>
              <w:left w:val="nil"/>
              <w:bottom w:val="single" w:sz="8" w:space="0" w:color="auto"/>
              <w:right w:val="single" w:sz="8" w:space="0" w:color="auto"/>
            </w:tcBorders>
            <w:shd w:val="clear" w:color="auto" w:fill="auto"/>
            <w:noWrap/>
            <w:vAlign w:val="center"/>
            <w:hideMark/>
          </w:tcPr>
          <w:p w:rsidR="002419BB" w:rsidRPr="00A07D1C" w:rsidRDefault="002419BB" w:rsidP="00C21129">
            <w:pPr>
              <w:spacing w:after="0"/>
              <w:jc w:val="center"/>
              <w:rPr>
                <w:color w:val="000000"/>
                <w:szCs w:val="22"/>
                <w:lang w:val="en-US"/>
              </w:rPr>
            </w:pPr>
            <w:r>
              <w:rPr>
                <w:color w:val="000000"/>
              </w:rPr>
              <w:t>7.7%</w:t>
            </w:r>
          </w:p>
        </w:tc>
        <w:tc>
          <w:tcPr>
            <w:tcW w:w="1138" w:type="dxa"/>
            <w:tcBorders>
              <w:top w:val="single" w:sz="8" w:space="0" w:color="auto"/>
              <w:left w:val="nil"/>
              <w:bottom w:val="single" w:sz="8" w:space="0" w:color="auto"/>
              <w:right w:val="single" w:sz="4" w:space="0" w:color="auto"/>
            </w:tcBorders>
          </w:tcPr>
          <w:p w:rsidR="002419BB" w:rsidRPr="00C21129" w:rsidDel="006265A4" w:rsidRDefault="002419BB" w:rsidP="006265A4">
            <w:pPr>
              <w:spacing w:after="0"/>
              <w:jc w:val="center"/>
              <w:rPr>
                <w:color w:val="000000"/>
              </w:rPr>
            </w:pPr>
            <w:r w:rsidRPr="00C21129">
              <w:rPr>
                <w:color w:val="000000"/>
              </w:rPr>
              <w:t>1.50</w:t>
            </w:r>
          </w:p>
        </w:tc>
        <w:tc>
          <w:tcPr>
            <w:tcW w:w="0" w:type="auto"/>
            <w:tcBorders>
              <w:top w:val="nil"/>
              <w:left w:val="single" w:sz="4" w:space="0" w:color="auto"/>
              <w:bottom w:val="single" w:sz="8" w:space="0" w:color="auto"/>
              <w:right w:val="single" w:sz="8" w:space="0" w:color="auto"/>
            </w:tcBorders>
            <w:shd w:val="clear" w:color="auto" w:fill="auto"/>
            <w:noWrap/>
          </w:tcPr>
          <w:p w:rsidR="002419BB" w:rsidRPr="00C21129" w:rsidRDefault="002419BB" w:rsidP="006265A4">
            <w:pPr>
              <w:spacing w:after="0"/>
              <w:jc w:val="center"/>
              <w:rPr>
                <w:color w:val="000000"/>
              </w:rPr>
            </w:pPr>
            <w:r w:rsidRPr="00C21129">
              <w:rPr>
                <w:color w:val="000000"/>
              </w:rPr>
              <w:t>1.05</w:t>
            </w:r>
          </w:p>
        </w:tc>
        <w:tc>
          <w:tcPr>
            <w:tcW w:w="0" w:type="auto"/>
            <w:tcBorders>
              <w:top w:val="nil"/>
              <w:left w:val="nil"/>
              <w:bottom w:val="single" w:sz="8" w:space="0" w:color="auto"/>
              <w:right w:val="single" w:sz="8" w:space="0" w:color="auto"/>
            </w:tcBorders>
            <w:shd w:val="clear" w:color="auto" w:fill="auto"/>
            <w:noWrap/>
          </w:tcPr>
          <w:p w:rsidR="002419BB" w:rsidRPr="00C21129" w:rsidRDefault="003D609F" w:rsidP="006265A4">
            <w:pPr>
              <w:spacing w:after="0"/>
              <w:jc w:val="center"/>
              <w:rPr>
                <w:color w:val="000000"/>
              </w:rPr>
            </w:pPr>
            <w:r>
              <w:rPr>
                <w:color w:val="000000"/>
              </w:rPr>
              <w:t>30</w:t>
            </w:r>
            <w:r w:rsidR="002419BB" w:rsidRPr="00C21129">
              <w:rPr>
                <w:color w:val="000000"/>
              </w:rPr>
              <w:t>%</w:t>
            </w:r>
          </w:p>
        </w:tc>
      </w:tr>
    </w:tbl>
    <w:p w:rsidR="009A5C99" w:rsidRDefault="009A5C99" w:rsidP="009A5C99"/>
    <w:p w:rsidR="00592018" w:rsidRDefault="00F0581B" w:rsidP="00A07D1C">
      <w:pPr>
        <w:keepNext/>
        <w:jc w:val="both"/>
        <w:rPr>
          <w:lang w:val="en-US"/>
        </w:rPr>
      </w:pPr>
      <w:r w:rsidRPr="00A07D1C">
        <w:rPr>
          <w:lang w:val="en-US"/>
        </w:rPr>
        <w:t>From the</w:t>
      </w:r>
      <w:r>
        <w:rPr>
          <w:lang w:val="en-US"/>
        </w:rPr>
        <w:t xml:space="preserve"> results collected, we can conclude that even in InH scenario there is significant benefit in defining a good spherical coverage requirement. </w:t>
      </w:r>
    </w:p>
    <w:p w:rsidR="00637E73" w:rsidRDefault="00F0581B" w:rsidP="00637E73">
      <w:pPr>
        <w:keepNext/>
        <w:jc w:val="both"/>
      </w:pPr>
      <w:r>
        <w:rPr>
          <w:lang w:val="en-US"/>
        </w:rPr>
        <w:t xml:space="preserve">It is worth mentioning again that these results </w:t>
      </w:r>
      <w:r>
        <w:t xml:space="preserve">were obtained </w:t>
      </w:r>
      <w:r w:rsidR="0056530E">
        <w:t>without including any additional blockage</w:t>
      </w:r>
      <w:r w:rsidR="00592018">
        <w:t xml:space="preserve">. In general, it is recognized that blockage has a relevant impact on the overall performance. We already proposed a model in </w:t>
      </w:r>
      <w:r w:rsidR="00592018">
        <w:fldChar w:fldCharType="begin"/>
      </w:r>
      <w:r w:rsidR="00592018">
        <w:instrText xml:space="preserve"> REF _Ref503776022 \r \h </w:instrText>
      </w:r>
      <w:r w:rsidR="00592018">
        <w:fldChar w:fldCharType="separate"/>
      </w:r>
      <w:r w:rsidR="00516FE0">
        <w:t>[3]</w:t>
      </w:r>
      <w:r w:rsidR="00592018">
        <w:fldChar w:fldCharType="end"/>
      </w:r>
      <w:r w:rsidR="00592018">
        <w:t xml:space="preserve">, however other companies needed more time to </w:t>
      </w:r>
      <w:r w:rsidR="009A1BBF">
        <w:t xml:space="preserve">analyse the model. In particular, it is important to evaluate how the blockage behaves depending on the module location. Since it is impossible to foresee with 100% accuracy how the user handles the phone, in the following we analyse a worst case in which the hand blocks the module available for CFG1. In this </w:t>
      </w:r>
      <w:r w:rsidR="009A1BBF">
        <w:lastRenderedPageBreak/>
        <w:t xml:space="preserve">particular case, large gain is expected in the </w:t>
      </w:r>
      <w:r w:rsidR="00E91094">
        <w:t xml:space="preserve">TR CFG </w:t>
      </w:r>
      <w:r w:rsidR="009A1BBF">
        <w:t xml:space="preserve">configurations since only one module is blocked. In other words, we want to estimate what is the panel diversity gain in case one panel is blocked by the hand. </w:t>
      </w:r>
    </w:p>
    <w:p w:rsidR="007C1746" w:rsidRDefault="009A1BBF" w:rsidP="00C21129">
      <w:pPr>
        <w:keepNext/>
        <w:jc w:val="both"/>
      </w:pPr>
      <w:r>
        <w:t xml:space="preserve">To evaluate this in our simulation we add </w:t>
      </w:r>
      <w:r w:rsidR="0043643A">
        <w:t xml:space="preserve">a lognormal loss (mean </w:t>
      </w:r>
      <m:oMath>
        <m:r>
          <w:rPr>
            <w:rFonts w:ascii="Cambria Math" w:hAnsi="Cambria Math"/>
          </w:rPr>
          <m:t>μ=15.26 dB</m:t>
        </m:r>
      </m:oMath>
      <w:r w:rsidR="0043643A">
        <w:t xml:space="preserve">,  standard deviation  </w:t>
      </w:r>
      <m:oMath>
        <m:r>
          <w:rPr>
            <w:rFonts w:ascii="Cambria Math" w:hAnsi="Cambria Math"/>
          </w:rPr>
          <m:t>σ=3.8 dB</m:t>
        </m:r>
      </m:oMath>
      <w:r w:rsidR="0043643A">
        <w:t>) to the semi-sphere in which</w:t>
      </w:r>
      <w:r w:rsidR="00CD0774">
        <w:t xml:space="preserve"> t</w:t>
      </w:r>
      <w:r w:rsidR="0043643A">
        <w:t>he panel generating</w:t>
      </w:r>
      <w:r w:rsidR="00593B2E">
        <w:t xml:space="preserve"> CD</w:t>
      </w:r>
      <w:r w:rsidR="00FA1E61">
        <w:t>F</w:t>
      </w:r>
      <w:r w:rsidR="00593B2E">
        <w:t xml:space="preserve"> </w:t>
      </w:r>
      <w:r w:rsidR="0043643A">
        <w:t>is located.</w:t>
      </w:r>
      <w:r w:rsidR="00952760">
        <w:t xml:space="preserve"> </w:t>
      </w:r>
      <w:r w:rsidR="00637E73">
        <w:fldChar w:fldCharType="begin"/>
      </w:r>
      <w:r w:rsidR="00637E73">
        <w:instrText xml:space="preserve"> REF _Ref510690656 \h </w:instrText>
      </w:r>
      <w:r w:rsidR="00637E73">
        <w:fldChar w:fldCharType="separate"/>
      </w:r>
      <w:r w:rsidR="00516FE0">
        <w:t xml:space="preserve">Figure </w:t>
      </w:r>
      <w:r w:rsidR="00516FE0">
        <w:rPr>
          <w:noProof/>
        </w:rPr>
        <w:t>5</w:t>
      </w:r>
      <w:r w:rsidR="00637E73">
        <w:fldChar w:fldCharType="end"/>
      </w:r>
      <w:r w:rsidR="00952760">
        <w:t xml:space="preserve"> shows the UL </w:t>
      </w:r>
      <w:r w:rsidR="00593B2E">
        <w:t xml:space="preserve">SINR </w:t>
      </w:r>
      <w:r w:rsidR="00952760">
        <w:t xml:space="preserve">distribution in this particular case. </w:t>
      </w:r>
      <w:r w:rsidR="00952760" w:rsidRPr="00FA1E61">
        <w:t xml:space="preserve">The resulting average and 5%-tile throughput gain for </w:t>
      </w:r>
      <w:r w:rsidR="00E91094">
        <w:t>TR CFG</w:t>
      </w:r>
      <w:r w:rsidR="00E91094" w:rsidRPr="00FA1E61">
        <w:t xml:space="preserve"> </w:t>
      </w:r>
      <w:r w:rsidR="00952760" w:rsidRPr="00FA1E61">
        <w:t xml:space="preserve">over CFG1 are </w:t>
      </w:r>
      <w:r w:rsidR="001D2D14">
        <w:t>12.3</w:t>
      </w:r>
      <w:r w:rsidR="00637E73">
        <w:t>%</w:t>
      </w:r>
      <w:r w:rsidR="00952760" w:rsidRPr="00FA1E61">
        <w:t xml:space="preserve"> and</w:t>
      </w:r>
      <w:r w:rsidR="00637E73">
        <w:t xml:space="preserve"> </w:t>
      </w:r>
      <w:r w:rsidR="0087568B">
        <w:t>32.6</w:t>
      </w:r>
      <w:r w:rsidR="00637E73">
        <w:t>%</w:t>
      </w:r>
      <w:r w:rsidR="00952760" w:rsidRPr="00FA1E61">
        <w:t>, respectively</w:t>
      </w:r>
      <w:r w:rsidR="00952760">
        <w:t>.</w:t>
      </w:r>
    </w:p>
    <w:p w:rsidR="00CD0774" w:rsidRDefault="00E91094" w:rsidP="00C21129">
      <w:pPr>
        <w:keepNext/>
        <w:jc w:val="center"/>
      </w:pPr>
      <w:r w:rsidRPr="00E91094">
        <w:t xml:space="preserve"> </w:t>
      </w:r>
      <w:r w:rsidRPr="00E91094">
        <w:rPr>
          <w:noProof/>
        </w:rPr>
        <w:drawing>
          <wp:inline distT="0" distB="0" distL="0" distR="0" wp14:anchorId="383F7C3F" wp14:editId="0EE686D4">
            <wp:extent cx="5325745" cy="3994150"/>
            <wp:effectExtent l="0" t="0" r="825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D0774" w:rsidRDefault="00CD0774" w:rsidP="00C21129">
      <w:pPr>
        <w:pStyle w:val="Caption"/>
        <w:jc w:val="center"/>
      </w:pPr>
      <w:bookmarkStart w:id="15" w:name="_Ref510690656"/>
      <w:r>
        <w:t xml:space="preserve">Figure </w:t>
      </w:r>
      <w:r w:rsidR="003733B8">
        <w:fldChar w:fldCharType="begin"/>
      </w:r>
      <w:r w:rsidR="003733B8">
        <w:instrText xml:space="preserve"> SEQ Figure \* ARABIC </w:instrText>
      </w:r>
      <w:r w:rsidR="003733B8">
        <w:fldChar w:fldCharType="separate"/>
      </w:r>
      <w:r w:rsidR="003733B8">
        <w:rPr>
          <w:noProof/>
        </w:rPr>
        <w:t>5</w:t>
      </w:r>
      <w:r w:rsidR="003733B8">
        <w:fldChar w:fldCharType="end"/>
      </w:r>
      <w:bookmarkEnd w:id="15"/>
      <w:r>
        <w:t>. InH UL SINR CDF in the presence of blockage.</w:t>
      </w:r>
    </w:p>
    <w:p w:rsidR="00592018" w:rsidRPr="00F0581B" w:rsidRDefault="009A1BBF" w:rsidP="00C21129">
      <w:pPr>
        <w:pStyle w:val="Caption"/>
      </w:pPr>
      <w:r>
        <w:t xml:space="preserve">  </w:t>
      </w:r>
    </w:p>
    <w:p w:rsidR="00290240" w:rsidRDefault="00146FE7" w:rsidP="001F2E0B">
      <w:pPr>
        <w:pStyle w:val="Heading3"/>
        <w:jc w:val="both"/>
        <w:rPr>
          <w:lang w:val="en-US"/>
        </w:rPr>
      </w:pPr>
      <w:r>
        <w:rPr>
          <w:lang w:val="en-US"/>
        </w:rPr>
        <w:t>Results UM</w:t>
      </w:r>
      <w:r w:rsidR="00290240">
        <w:rPr>
          <w:lang w:val="en-US"/>
        </w:rPr>
        <w:t>i</w:t>
      </w:r>
    </w:p>
    <w:p w:rsidR="00D61828" w:rsidRDefault="00D61828" w:rsidP="001F2E0B">
      <w:pPr>
        <w:jc w:val="both"/>
        <w:rPr>
          <w:lang w:val="en-US"/>
        </w:rPr>
      </w:pPr>
      <w:r>
        <w:rPr>
          <w:lang w:val="en-US"/>
        </w:rPr>
        <w:t>UMi deployment is here analyzed for</w:t>
      </w:r>
      <w:r w:rsidR="00667665">
        <w:rPr>
          <w:lang w:val="en-US"/>
        </w:rPr>
        <w:t xml:space="preserve"> both</w:t>
      </w:r>
      <w:r>
        <w:rPr>
          <w:lang w:val="en-US"/>
        </w:rPr>
        <w:t xml:space="preserve"> DL and UL </w:t>
      </w:r>
      <w:r w:rsidR="00667665">
        <w:rPr>
          <w:lang w:val="en-US"/>
        </w:rPr>
        <w:t>cases</w:t>
      </w:r>
      <w:r>
        <w:rPr>
          <w:lang w:val="en-US"/>
        </w:rPr>
        <w:t xml:space="preserve">. The analysis is very similar to the above for InH setting and will focus on SINR CDF differences between </w:t>
      </w:r>
      <w:r w:rsidR="000A0CD7">
        <w:rPr>
          <w:lang w:val="en-US"/>
        </w:rPr>
        <w:t>two different panel configurations</w:t>
      </w:r>
      <w:r w:rsidR="00310C99">
        <w:rPr>
          <w:lang w:val="en-US"/>
        </w:rPr>
        <w:t>.</w:t>
      </w:r>
      <w:r w:rsidR="008A2385">
        <w:rPr>
          <w:lang w:val="en-US"/>
        </w:rPr>
        <w:t xml:space="preserve"> </w:t>
      </w:r>
      <w:r w:rsidR="00667665">
        <w:rPr>
          <w:lang w:val="en-US"/>
        </w:rPr>
        <w:t xml:space="preserve">The </w:t>
      </w:r>
      <w:r w:rsidR="003739D7">
        <w:rPr>
          <w:lang w:val="en-US"/>
        </w:rPr>
        <w:t xml:space="preserve">DL and UL SINR CDF are shown in </w:t>
      </w:r>
      <w:r w:rsidR="003739D7">
        <w:rPr>
          <w:lang w:val="en-US"/>
        </w:rPr>
        <w:fldChar w:fldCharType="begin"/>
      </w:r>
      <w:r w:rsidR="003739D7">
        <w:rPr>
          <w:lang w:val="en-US"/>
        </w:rPr>
        <w:instrText xml:space="preserve"> REF _Ref506806331 \h </w:instrText>
      </w:r>
      <w:r w:rsidR="003739D7">
        <w:rPr>
          <w:lang w:val="en-US"/>
        </w:rPr>
      </w:r>
      <w:r w:rsidR="003739D7">
        <w:rPr>
          <w:lang w:val="en-US"/>
        </w:rPr>
        <w:fldChar w:fldCharType="separate"/>
      </w:r>
      <w:r w:rsidR="00516FE0">
        <w:t xml:space="preserve">Figure </w:t>
      </w:r>
      <w:r w:rsidR="00516FE0">
        <w:rPr>
          <w:noProof/>
        </w:rPr>
        <w:t>6</w:t>
      </w:r>
      <w:r w:rsidR="003739D7">
        <w:rPr>
          <w:lang w:val="en-US"/>
        </w:rPr>
        <w:fldChar w:fldCharType="end"/>
      </w:r>
      <w:r w:rsidR="003739D7">
        <w:rPr>
          <w:lang w:val="en-US"/>
        </w:rPr>
        <w:t xml:space="preserve"> and </w:t>
      </w:r>
      <w:r w:rsidR="003739D7">
        <w:rPr>
          <w:lang w:val="en-US"/>
        </w:rPr>
        <w:fldChar w:fldCharType="begin"/>
      </w:r>
      <w:r w:rsidR="003739D7">
        <w:rPr>
          <w:lang w:val="en-US"/>
        </w:rPr>
        <w:instrText xml:space="preserve"> REF _Ref506806401 \h </w:instrText>
      </w:r>
      <w:r w:rsidR="003739D7">
        <w:rPr>
          <w:lang w:val="en-US"/>
        </w:rPr>
      </w:r>
      <w:r w:rsidR="003739D7">
        <w:rPr>
          <w:lang w:val="en-US"/>
        </w:rPr>
        <w:fldChar w:fldCharType="separate"/>
      </w:r>
      <w:r w:rsidR="00516FE0">
        <w:t xml:space="preserve">Figure </w:t>
      </w:r>
      <w:r w:rsidR="00516FE0">
        <w:rPr>
          <w:noProof/>
        </w:rPr>
        <w:t>7</w:t>
      </w:r>
      <w:r w:rsidR="003739D7">
        <w:rPr>
          <w:lang w:val="en-US"/>
        </w:rPr>
        <w:fldChar w:fldCharType="end"/>
      </w:r>
      <w:r w:rsidR="003739D7">
        <w:rPr>
          <w:lang w:val="en-US"/>
        </w:rPr>
        <w:t>, respectively.</w:t>
      </w:r>
      <w:r w:rsidR="00EF4A8B">
        <w:rPr>
          <w:lang w:val="en-US"/>
        </w:rPr>
        <w:t xml:space="preserve"> We focus on the 200MHz case since no outage is present for this scenario.</w:t>
      </w:r>
    </w:p>
    <w:p w:rsidR="00667665" w:rsidRDefault="00310C99" w:rsidP="00A07D1C">
      <w:pPr>
        <w:keepNext/>
        <w:jc w:val="center"/>
      </w:pPr>
      <w:r w:rsidRPr="00310C99">
        <w:lastRenderedPageBreak/>
        <w:t xml:space="preserve"> </w:t>
      </w:r>
      <w:r w:rsidR="0087568B" w:rsidRPr="0087568B">
        <w:t xml:space="preserve"> </w:t>
      </w:r>
      <w:r w:rsidR="0087568B" w:rsidRPr="0087568B">
        <w:rPr>
          <w:noProof/>
        </w:rPr>
        <w:drawing>
          <wp:inline distT="0" distB="0" distL="0" distR="0" wp14:anchorId="4B406050" wp14:editId="0AF6A724">
            <wp:extent cx="5325745" cy="3994150"/>
            <wp:effectExtent l="0" t="0" r="825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67665" w:rsidRDefault="00667665" w:rsidP="00A07D1C">
      <w:pPr>
        <w:pStyle w:val="Caption"/>
        <w:jc w:val="center"/>
      </w:pPr>
      <w:bookmarkStart w:id="16" w:name="_Ref506806331"/>
      <w:r>
        <w:t xml:space="preserve">Figure </w:t>
      </w:r>
      <w:r w:rsidR="003733B8">
        <w:fldChar w:fldCharType="begin"/>
      </w:r>
      <w:r w:rsidR="003733B8">
        <w:instrText xml:space="preserve"> SEQ Figure \* ARABIC </w:instrText>
      </w:r>
      <w:r w:rsidR="003733B8">
        <w:fldChar w:fldCharType="separate"/>
      </w:r>
      <w:r w:rsidR="003733B8">
        <w:rPr>
          <w:noProof/>
        </w:rPr>
        <w:t>6</w:t>
      </w:r>
      <w:r w:rsidR="003733B8">
        <w:fldChar w:fldCharType="end"/>
      </w:r>
      <w:bookmarkEnd w:id="16"/>
      <w:r>
        <w:t xml:space="preserve">. </w:t>
      </w:r>
      <w:r w:rsidR="003739D7">
        <w:t>UMi</w:t>
      </w:r>
      <w:r w:rsidRPr="00D32BD9">
        <w:t xml:space="preserve"> </w:t>
      </w:r>
      <w:r w:rsidR="003739D7">
        <w:t>D</w:t>
      </w:r>
      <w:r w:rsidRPr="00D32BD9">
        <w:t xml:space="preserve">L </w:t>
      </w:r>
      <w:r w:rsidR="007E7C9C">
        <w:t>SINR</w:t>
      </w:r>
      <w:r w:rsidR="007E7C9C" w:rsidRPr="00D32BD9">
        <w:t xml:space="preserve"> </w:t>
      </w:r>
      <w:r w:rsidRPr="00D32BD9">
        <w:t xml:space="preserve">CDF </w:t>
      </w:r>
      <w:r w:rsidR="003739D7">
        <w:t>– no blockage, all UEs outdoor</w:t>
      </w:r>
      <w:r w:rsidRPr="00D32BD9">
        <w:t>.</w:t>
      </w:r>
    </w:p>
    <w:p w:rsidR="003739D7" w:rsidRDefault="00310C99" w:rsidP="00A07D1C">
      <w:pPr>
        <w:keepNext/>
        <w:jc w:val="center"/>
      </w:pPr>
      <w:r w:rsidRPr="00310C99">
        <w:t xml:space="preserve"> </w:t>
      </w:r>
      <w:r w:rsidR="0087568B" w:rsidRPr="0087568B">
        <w:t xml:space="preserve"> </w:t>
      </w:r>
      <w:r w:rsidR="0087568B" w:rsidRPr="0087568B">
        <w:rPr>
          <w:noProof/>
        </w:rPr>
        <w:drawing>
          <wp:inline distT="0" distB="0" distL="0" distR="0" wp14:anchorId="3B36F34C" wp14:editId="698D5362">
            <wp:extent cx="5325745" cy="3994150"/>
            <wp:effectExtent l="0" t="0" r="825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739D7" w:rsidRDefault="003739D7" w:rsidP="003739D7">
      <w:pPr>
        <w:pStyle w:val="Caption"/>
        <w:jc w:val="center"/>
      </w:pPr>
      <w:bookmarkStart w:id="17" w:name="_Ref506806401"/>
      <w:r>
        <w:t xml:space="preserve">Figure </w:t>
      </w:r>
      <w:r w:rsidR="003733B8">
        <w:fldChar w:fldCharType="begin"/>
      </w:r>
      <w:r w:rsidR="003733B8">
        <w:instrText xml:space="preserve"> SEQ Figure \* ARABIC </w:instrText>
      </w:r>
      <w:r w:rsidR="003733B8">
        <w:fldChar w:fldCharType="separate"/>
      </w:r>
      <w:r w:rsidR="003733B8">
        <w:rPr>
          <w:noProof/>
        </w:rPr>
        <w:t>7</w:t>
      </w:r>
      <w:r w:rsidR="003733B8">
        <w:fldChar w:fldCharType="end"/>
      </w:r>
      <w:bookmarkEnd w:id="17"/>
      <w:r>
        <w:t>.</w:t>
      </w:r>
      <w:r w:rsidRPr="003739D7">
        <w:t xml:space="preserve"> </w:t>
      </w:r>
      <w:r>
        <w:t>UMi</w:t>
      </w:r>
      <w:r w:rsidRPr="00D32BD9">
        <w:t xml:space="preserve"> </w:t>
      </w:r>
      <w:r>
        <w:t>U</w:t>
      </w:r>
      <w:r w:rsidRPr="00D32BD9">
        <w:t xml:space="preserve">L </w:t>
      </w:r>
      <w:r w:rsidR="007E7C9C">
        <w:t>SINR</w:t>
      </w:r>
      <w:r w:rsidR="007E7C9C" w:rsidRPr="00D32BD9">
        <w:t xml:space="preserve"> </w:t>
      </w:r>
      <w:r w:rsidRPr="00D32BD9">
        <w:t xml:space="preserve">CDF </w:t>
      </w:r>
      <w:r>
        <w:t>– no blockage, all UEs outdoor</w:t>
      </w:r>
      <w:r w:rsidRPr="00D32BD9">
        <w:t>.</w:t>
      </w:r>
    </w:p>
    <w:p w:rsidR="003739D7" w:rsidRPr="00EE63FC" w:rsidRDefault="003739D7" w:rsidP="00A07D1C">
      <w:pPr>
        <w:jc w:val="both"/>
      </w:pPr>
      <w:r>
        <w:lastRenderedPageBreak/>
        <w:t xml:space="preserve">A summary of the throughput performance with a comparison between CFG1 and </w:t>
      </w:r>
      <w:r w:rsidR="0087568B">
        <w:t>TR CFG</w:t>
      </w:r>
      <w:r>
        <w:t xml:space="preserve"> is shown in </w:t>
      </w:r>
      <w:r>
        <w:fldChar w:fldCharType="begin"/>
      </w:r>
      <w:r>
        <w:instrText xml:space="preserve"> REF _Ref506806613 \h </w:instrText>
      </w:r>
      <w:r>
        <w:fldChar w:fldCharType="separate"/>
      </w:r>
      <w:r w:rsidR="00516FE0">
        <w:t xml:space="preserve">Table </w:t>
      </w:r>
      <w:r w:rsidR="00516FE0">
        <w:rPr>
          <w:noProof/>
        </w:rPr>
        <w:t>4</w:t>
      </w:r>
      <w:r>
        <w:fldChar w:fldCharType="end"/>
      </w:r>
      <w:r>
        <w:t>. As it can be observed even in this scenario, a better spherical coverage requirement allows to greatly improve system performance. The</w:t>
      </w:r>
      <w:r w:rsidR="00D8654F">
        <w:t xml:space="preserve"> 5%-tile throughput </w:t>
      </w:r>
      <w:r>
        <w:t xml:space="preserve">gain of </w:t>
      </w:r>
      <w:r w:rsidR="0087568B">
        <w:t xml:space="preserve">TR CFG </w:t>
      </w:r>
      <w:r>
        <w:t xml:space="preserve">over CFG1 goes up to </w:t>
      </w:r>
      <w:r w:rsidR="005F7DA2">
        <w:t>23</w:t>
      </w:r>
      <w:r w:rsidR="00794924">
        <w:t xml:space="preserve">% and </w:t>
      </w:r>
      <w:r w:rsidR="005F7DA2">
        <w:t>33.5</w:t>
      </w:r>
      <w:r>
        <w:t>% for the</w:t>
      </w:r>
      <w:r w:rsidR="00794924">
        <w:t xml:space="preserve"> DL and</w:t>
      </w:r>
      <w:r>
        <w:t xml:space="preserve"> UL case</w:t>
      </w:r>
      <w:r w:rsidR="00794924">
        <w:t>, respectively</w:t>
      </w:r>
      <w:r>
        <w:t>.</w:t>
      </w:r>
    </w:p>
    <w:p w:rsidR="003739D7" w:rsidRDefault="003739D7" w:rsidP="00A07D1C">
      <w:pPr>
        <w:pStyle w:val="Caption"/>
        <w:keepNext/>
        <w:jc w:val="center"/>
      </w:pPr>
      <w:bookmarkStart w:id="18" w:name="_Ref506806613"/>
      <w:r>
        <w:t xml:space="preserve">Table </w:t>
      </w:r>
      <w:r>
        <w:fldChar w:fldCharType="begin"/>
      </w:r>
      <w:r>
        <w:instrText xml:space="preserve"> SEQ Table \* ARABIC </w:instrText>
      </w:r>
      <w:r>
        <w:fldChar w:fldCharType="separate"/>
      </w:r>
      <w:r w:rsidR="00516FE0">
        <w:rPr>
          <w:noProof/>
        </w:rPr>
        <w:t>4</w:t>
      </w:r>
      <w:r>
        <w:fldChar w:fldCharType="end"/>
      </w:r>
      <w:bookmarkEnd w:id="18"/>
      <w:r>
        <w:t xml:space="preserve">. </w:t>
      </w:r>
      <w:r w:rsidRPr="0022599A">
        <w:t xml:space="preserve">Throughput performance in </w:t>
      </w:r>
      <w:r>
        <w:t>UMi</w:t>
      </w:r>
      <w:r w:rsidRPr="0022599A">
        <w:t xml:space="preserve"> scenario - no blockage.</w:t>
      </w:r>
    </w:p>
    <w:tbl>
      <w:tblPr>
        <w:tblW w:w="0" w:type="auto"/>
        <w:jc w:val="center"/>
        <w:tblLayout w:type="fixed"/>
        <w:tblLook w:val="04A0" w:firstRow="1" w:lastRow="0" w:firstColumn="1" w:lastColumn="0" w:noHBand="0" w:noVBand="1"/>
      </w:tblPr>
      <w:tblGrid>
        <w:gridCol w:w="566"/>
        <w:gridCol w:w="1116"/>
        <w:gridCol w:w="839"/>
        <w:gridCol w:w="1744"/>
        <w:gridCol w:w="1162"/>
        <w:gridCol w:w="845"/>
        <w:gridCol w:w="1744"/>
      </w:tblGrid>
      <w:tr w:rsidR="0087568B" w:rsidRPr="00EF4A8B" w:rsidTr="0087568B">
        <w:trPr>
          <w:trHeight w:val="300"/>
          <w:jc w:val="center"/>
        </w:trPr>
        <w:tc>
          <w:tcPr>
            <w:tcW w:w="566" w:type="dxa"/>
            <w:tcBorders>
              <w:top w:val="nil"/>
              <w:left w:val="nil"/>
              <w:bottom w:val="nil"/>
              <w:right w:val="nil"/>
            </w:tcBorders>
            <w:shd w:val="clear" w:color="auto" w:fill="auto"/>
            <w:noWrap/>
            <w:vAlign w:val="bottom"/>
            <w:hideMark/>
          </w:tcPr>
          <w:p w:rsidR="00395BBC" w:rsidRPr="00A07D1C" w:rsidRDefault="00395BBC" w:rsidP="00D8654F">
            <w:pPr>
              <w:spacing w:after="0"/>
              <w:rPr>
                <w:szCs w:val="24"/>
                <w:lang w:val="en-US"/>
              </w:rPr>
            </w:pPr>
          </w:p>
        </w:tc>
        <w:tc>
          <w:tcPr>
            <w:tcW w:w="3699" w:type="dxa"/>
            <w:gridSpan w:val="3"/>
            <w:tcBorders>
              <w:top w:val="single" w:sz="8" w:space="0" w:color="auto"/>
              <w:left w:val="single" w:sz="8" w:space="0" w:color="auto"/>
              <w:bottom w:val="single" w:sz="8" w:space="0" w:color="auto"/>
              <w:right w:val="single" w:sz="8" w:space="0" w:color="000000"/>
            </w:tcBorders>
          </w:tcPr>
          <w:p w:rsidR="00395BBC" w:rsidRPr="00A07D1C" w:rsidRDefault="00395BBC" w:rsidP="00D8654F">
            <w:pPr>
              <w:spacing w:after="0"/>
              <w:jc w:val="center"/>
              <w:rPr>
                <w:b/>
                <w:bCs/>
                <w:color w:val="000000"/>
                <w:szCs w:val="22"/>
                <w:lang w:val="en-US"/>
              </w:rPr>
            </w:pPr>
            <w:r w:rsidRPr="00A07D1C">
              <w:rPr>
                <w:b/>
                <w:bCs/>
                <w:color w:val="000000"/>
                <w:szCs w:val="24"/>
                <w:lang w:val="en-US"/>
              </w:rPr>
              <w:t>Average Throughput</w:t>
            </w:r>
            <w:r>
              <w:rPr>
                <w:b/>
                <w:bCs/>
                <w:color w:val="000000"/>
                <w:szCs w:val="24"/>
                <w:lang w:val="en-US"/>
              </w:rPr>
              <w:t xml:space="preserve"> [bit/s/Hz]</w:t>
            </w:r>
          </w:p>
        </w:tc>
        <w:tc>
          <w:tcPr>
            <w:tcW w:w="3751" w:type="dxa"/>
            <w:gridSpan w:val="3"/>
            <w:tcBorders>
              <w:top w:val="single" w:sz="8" w:space="0" w:color="auto"/>
              <w:left w:val="nil"/>
              <w:bottom w:val="single" w:sz="8" w:space="0" w:color="auto"/>
              <w:right w:val="single" w:sz="8" w:space="0" w:color="000000"/>
            </w:tcBorders>
          </w:tcPr>
          <w:p w:rsidR="00395BBC" w:rsidRPr="00A07D1C" w:rsidRDefault="00395BBC" w:rsidP="00D8654F">
            <w:pPr>
              <w:spacing w:after="0"/>
              <w:jc w:val="center"/>
              <w:rPr>
                <w:b/>
                <w:bCs/>
                <w:color w:val="000000"/>
                <w:szCs w:val="22"/>
                <w:lang w:val="en-US"/>
              </w:rPr>
            </w:pPr>
            <w:r w:rsidRPr="00A07D1C">
              <w:rPr>
                <w:b/>
                <w:bCs/>
                <w:color w:val="000000"/>
                <w:szCs w:val="24"/>
                <w:lang w:val="en-US"/>
              </w:rPr>
              <w:t>5%-tile Throughput</w:t>
            </w:r>
            <w:r>
              <w:rPr>
                <w:b/>
                <w:bCs/>
                <w:color w:val="000000"/>
                <w:szCs w:val="24"/>
                <w:lang w:val="en-US"/>
              </w:rPr>
              <w:t xml:space="preserve"> [bit/s/Hz]</w:t>
            </w:r>
          </w:p>
        </w:tc>
      </w:tr>
      <w:tr w:rsidR="0087568B" w:rsidRPr="00EF4A8B" w:rsidTr="00410190">
        <w:trPr>
          <w:trHeight w:val="300"/>
          <w:jc w:val="center"/>
        </w:trPr>
        <w:tc>
          <w:tcPr>
            <w:tcW w:w="566" w:type="dxa"/>
            <w:tcBorders>
              <w:top w:val="nil"/>
              <w:left w:val="nil"/>
              <w:bottom w:val="nil"/>
              <w:right w:val="nil"/>
            </w:tcBorders>
            <w:shd w:val="clear" w:color="auto" w:fill="auto"/>
            <w:noWrap/>
            <w:vAlign w:val="bottom"/>
            <w:hideMark/>
          </w:tcPr>
          <w:p w:rsidR="0087568B" w:rsidRPr="00A07D1C" w:rsidRDefault="0087568B" w:rsidP="00D8654F">
            <w:pPr>
              <w:spacing w:after="0"/>
              <w:jc w:val="center"/>
              <w:rPr>
                <w:b/>
                <w:bCs/>
                <w:color w:val="000000"/>
                <w:szCs w:val="22"/>
                <w:lang w:val="en-US"/>
              </w:rPr>
            </w:pPr>
          </w:p>
        </w:tc>
        <w:tc>
          <w:tcPr>
            <w:tcW w:w="1116" w:type="dxa"/>
            <w:tcBorders>
              <w:top w:val="single" w:sz="8" w:space="0" w:color="auto"/>
              <w:left w:val="single" w:sz="8" w:space="0" w:color="auto"/>
              <w:bottom w:val="single" w:sz="8" w:space="0" w:color="auto"/>
              <w:right w:val="single" w:sz="4" w:space="0" w:color="auto"/>
            </w:tcBorders>
          </w:tcPr>
          <w:p w:rsidR="0087568B" w:rsidRDefault="0087568B" w:rsidP="00D8654F">
            <w:pPr>
              <w:spacing w:after="0"/>
              <w:jc w:val="center"/>
              <w:rPr>
                <w:b/>
                <w:bCs/>
                <w:color w:val="000000"/>
                <w:szCs w:val="24"/>
                <w:lang w:val="en-US"/>
              </w:rPr>
            </w:pPr>
            <w:r>
              <w:rPr>
                <w:b/>
                <w:bCs/>
                <w:color w:val="000000"/>
                <w:szCs w:val="24"/>
                <w:lang w:val="en-US"/>
              </w:rPr>
              <w:t xml:space="preserve">TR </w:t>
            </w:r>
          </w:p>
          <w:p w:rsidR="0087568B" w:rsidRPr="00A07D1C" w:rsidRDefault="0087568B" w:rsidP="00D8654F">
            <w:pPr>
              <w:spacing w:after="0"/>
              <w:jc w:val="center"/>
              <w:rPr>
                <w:b/>
                <w:bCs/>
                <w:color w:val="000000"/>
                <w:szCs w:val="24"/>
                <w:lang w:val="en-US"/>
              </w:rPr>
            </w:pPr>
            <w:r>
              <w:rPr>
                <w:b/>
                <w:bCs/>
                <w:color w:val="000000"/>
                <w:szCs w:val="24"/>
                <w:lang w:val="en-US"/>
              </w:rPr>
              <w:t>reference</w:t>
            </w:r>
          </w:p>
        </w:tc>
        <w:tc>
          <w:tcPr>
            <w:tcW w:w="839" w:type="dxa"/>
            <w:tcBorders>
              <w:top w:val="nil"/>
              <w:left w:val="single" w:sz="4" w:space="0" w:color="auto"/>
              <w:bottom w:val="single" w:sz="8" w:space="0" w:color="auto"/>
              <w:right w:val="single" w:sz="8" w:space="0" w:color="auto"/>
            </w:tcBorders>
            <w:shd w:val="clear" w:color="auto" w:fill="auto"/>
            <w:noWrap/>
            <w:vAlign w:val="center"/>
            <w:hideMark/>
          </w:tcPr>
          <w:p w:rsidR="0087568B" w:rsidRPr="00A07D1C" w:rsidRDefault="0087568B" w:rsidP="00D8654F">
            <w:pPr>
              <w:spacing w:after="0"/>
              <w:jc w:val="center"/>
              <w:rPr>
                <w:b/>
                <w:bCs/>
                <w:color w:val="000000"/>
                <w:szCs w:val="22"/>
                <w:lang w:val="en-US"/>
              </w:rPr>
            </w:pPr>
            <w:r w:rsidRPr="00A07D1C">
              <w:rPr>
                <w:b/>
                <w:bCs/>
                <w:color w:val="000000"/>
                <w:szCs w:val="24"/>
                <w:lang w:val="en-US"/>
              </w:rPr>
              <w:t>CFG</w:t>
            </w:r>
            <w:r w:rsidRPr="00EF4A8B">
              <w:rPr>
                <w:b/>
                <w:bCs/>
                <w:color w:val="000000"/>
                <w:szCs w:val="24"/>
                <w:lang w:val="en-US"/>
              </w:rPr>
              <w:t>1</w:t>
            </w:r>
          </w:p>
        </w:tc>
        <w:tc>
          <w:tcPr>
            <w:tcW w:w="1744" w:type="dxa"/>
            <w:tcBorders>
              <w:top w:val="nil"/>
              <w:left w:val="nil"/>
              <w:bottom w:val="single" w:sz="8" w:space="0" w:color="auto"/>
              <w:right w:val="single" w:sz="8" w:space="0" w:color="auto"/>
            </w:tcBorders>
            <w:shd w:val="clear" w:color="auto" w:fill="auto"/>
            <w:noWrap/>
            <w:vAlign w:val="center"/>
            <w:hideMark/>
          </w:tcPr>
          <w:p w:rsidR="0087568B" w:rsidRPr="00A07D1C" w:rsidRDefault="0087568B" w:rsidP="00D8654F">
            <w:pPr>
              <w:spacing w:after="0"/>
              <w:jc w:val="center"/>
              <w:rPr>
                <w:b/>
                <w:bCs/>
                <w:color w:val="000000"/>
                <w:szCs w:val="22"/>
                <w:lang w:val="en-US"/>
              </w:rPr>
            </w:pPr>
            <w:r w:rsidRPr="00A07D1C">
              <w:rPr>
                <w:b/>
                <w:bCs/>
                <w:color w:val="000000"/>
                <w:szCs w:val="24"/>
                <w:lang w:val="en-US"/>
              </w:rPr>
              <w:t>Multi-panel gain</w:t>
            </w:r>
          </w:p>
        </w:tc>
        <w:tc>
          <w:tcPr>
            <w:tcW w:w="1162" w:type="dxa"/>
            <w:tcBorders>
              <w:top w:val="nil"/>
              <w:left w:val="nil"/>
              <w:bottom w:val="single" w:sz="8" w:space="0" w:color="auto"/>
              <w:right w:val="single" w:sz="4" w:space="0" w:color="auto"/>
            </w:tcBorders>
          </w:tcPr>
          <w:p w:rsidR="0087568B" w:rsidRDefault="0087568B" w:rsidP="00395BBC">
            <w:pPr>
              <w:spacing w:after="0"/>
              <w:jc w:val="center"/>
              <w:rPr>
                <w:b/>
                <w:bCs/>
                <w:color w:val="000000"/>
                <w:szCs w:val="24"/>
                <w:lang w:val="en-US"/>
              </w:rPr>
            </w:pPr>
            <w:r>
              <w:rPr>
                <w:b/>
                <w:bCs/>
                <w:color w:val="000000"/>
                <w:szCs w:val="24"/>
                <w:lang w:val="en-US"/>
              </w:rPr>
              <w:t xml:space="preserve">TR </w:t>
            </w:r>
          </w:p>
          <w:p w:rsidR="0087568B" w:rsidRPr="00A07D1C" w:rsidRDefault="0087568B" w:rsidP="00395BBC">
            <w:pPr>
              <w:spacing w:after="0"/>
              <w:jc w:val="center"/>
              <w:rPr>
                <w:b/>
                <w:bCs/>
                <w:color w:val="000000"/>
                <w:szCs w:val="24"/>
                <w:lang w:val="en-US"/>
              </w:rPr>
            </w:pPr>
            <w:r>
              <w:rPr>
                <w:b/>
                <w:bCs/>
                <w:color w:val="000000"/>
                <w:szCs w:val="24"/>
                <w:lang w:val="en-US"/>
              </w:rPr>
              <w:t>reference</w:t>
            </w:r>
          </w:p>
        </w:tc>
        <w:tc>
          <w:tcPr>
            <w:tcW w:w="845" w:type="dxa"/>
            <w:tcBorders>
              <w:top w:val="nil"/>
              <w:left w:val="single" w:sz="4" w:space="0" w:color="auto"/>
              <w:bottom w:val="single" w:sz="8" w:space="0" w:color="auto"/>
              <w:right w:val="single" w:sz="8" w:space="0" w:color="auto"/>
            </w:tcBorders>
            <w:shd w:val="clear" w:color="auto" w:fill="auto"/>
            <w:noWrap/>
            <w:vAlign w:val="center"/>
            <w:hideMark/>
          </w:tcPr>
          <w:p w:rsidR="0087568B" w:rsidRPr="00A07D1C" w:rsidRDefault="0087568B" w:rsidP="00D8654F">
            <w:pPr>
              <w:spacing w:after="0"/>
              <w:jc w:val="center"/>
              <w:rPr>
                <w:b/>
                <w:bCs/>
                <w:color w:val="000000"/>
                <w:szCs w:val="22"/>
                <w:lang w:val="en-US"/>
              </w:rPr>
            </w:pPr>
            <w:r w:rsidRPr="00A07D1C">
              <w:rPr>
                <w:b/>
                <w:bCs/>
                <w:color w:val="000000"/>
                <w:szCs w:val="24"/>
                <w:lang w:val="en-US"/>
              </w:rPr>
              <w:t>CFG1</w:t>
            </w:r>
          </w:p>
        </w:tc>
        <w:tc>
          <w:tcPr>
            <w:tcW w:w="1744" w:type="dxa"/>
            <w:tcBorders>
              <w:top w:val="nil"/>
              <w:left w:val="nil"/>
              <w:bottom w:val="single" w:sz="8" w:space="0" w:color="auto"/>
              <w:right w:val="single" w:sz="8" w:space="0" w:color="auto"/>
            </w:tcBorders>
            <w:shd w:val="clear" w:color="auto" w:fill="auto"/>
            <w:noWrap/>
            <w:vAlign w:val="center"/>
            <w:hideMark/>
          </w:tcPr>
          <w:p w:rsidR="0087568B" w:rsidRPr="00A07D1C" w:rsidRDefault="0087568B" w:rsidP="00D8654F">
            <w:pPr>
              <w:spacing w:after="0"/>
              <w:jc w:val="center"/>
              <w:rPr>
                <w:b/>
                <w:bCs/>
                <w:color w:val="000000"/>
                <w:szCs w:val="22"/>
                <w:lang w:val="en-US"/>
              </w:rPr>
            </w:pPr>
            <w:r w:rsidRPr="00A07D1C">
              <w:rPr>
                <w:b/>
                <w:bCs/>
                <w:color w:val="000000"/>
                <w:szCs w:val="24"/>
                <w:lang w:val="en-US"/>
              </w:rPr>
              <w:t>Multi-panel gain</w:t>
            </w:r>
          </w:p>
        </w:tc>
      </w:tr>
      <w:tr w:rsidR="0087568B" w:rsidRPr="00EF4A8B" w:rsidTr="00410190">
        <w:trPr>
          <w:trHeight w:val="324"/>
          <w:jc w:val="center"/>
        </w:trPr>
        <w:tc>
          <w:tcPr>
            <w:tcW w:w="56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7568B" w:rsidRPr="00A07D1C" w:rsidRDefault="0087568B" w:rsidP="00D504AE">
            <w:pPr>
              <w:spacing w:after="0"/>
              <w:jc w:val="center"/>
              <w:rPr>
                <w:b/>
                <w:bCs/>
                <w:color w:val="000000"/>
                <w:szCs w:val="22"/>
                <w:lang w:val="en-US"/>
              </w:rPr>
            </w:pPr>
            <w:r w:rsidRPr="00A07D1C">
              <w:rPr>
                <w:b/>
                <w:bCs/>
                <w:color w:val="000000"/>
                <w:szCs w:val="22"/>
                <w:lang w:val="en-US"/>
              </w:rPr>
              <w:t>DL</w:t>
            </w:r>
          </w:p>
        </w:tc>
        <w:tc>
          <w:tcPr>
            <w:tcW w:w="1116" w:type="dxa"/>
            <w:tcBorders>
              <w:top w:val="single" w:sz="8" w:space="0" w:color="auto"/>
              <w:left w:val="nil"/>
              <w:bottom w:val="single" w:sz="8" w:space="0" w:color="auto"/>
              <w:right w:val="single" w:sz="4" w:space="0" w:color="auto"/>
            </w:tcBorders>
            <w:vAlign w:val="center"/>
          </w:tcPr>
          <w:p w:rsidR="0087568B" w:rsidRPr="00A07D1C" w:rsidRDefault="0087568B" w:rsidP="00C21129">
            <w:pPr>
              <w:spacing w:after="0"/>
              <w:jc w:val="center"/>
              <w:rPr>
                <w:color w:val="000000"/>
                <w:szCs w:val="24"/>
                <w:lang w:val="en-US"/>
              </w:rPr>
            </w:pPr>
            <w:r w:rsidRPr="00264AA7">
              <w:t>5.62</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87568B" w:rsidRPr="00A07D1C" w:rsidRDefault="0087568B" w:rsidP="00C21129">
            <w:pPr>
              <w:spacing w:after="0"/>
              <w:jc w:val="center"/>
              <w:rPr>
                <w:color w:val="000000"/>
                <w:szCs w:val="24"/>
                <w:lang w:val="en-US"/>
              </w:rPr>
            </w:pPr>
            <w:r w:rsidRPr="00264AA7">
              <w:t>5.22</w:t>
            </w:r>
          </w:p>
        </w:tc>
        <w:tc>
          <w:tcPr>
            <w:tcW w:w="1744" w:type="dxa"/>
            <w:tcBorders>
              <w:top w:val="nil"/>
              <w:left w:val="nil"/>
              <w:bottom w:val="single" w:sz="8" w:space="0" w:color="auto"/>
              <w:right w:val="single" w:sz="8" w:space="0" w:color="auto"/>
            </w:tcBorders>
            <w:shd w:val="clear" w:color="auto" w:fill="auto"/>
            <w:noWrap/>
            <w:vAlign w:val="center"/>
          </w:tcPr>
          <w:p w:rsidR="0087568B" w:rsidRPr="00A07D1C" w:rsidRDefault="0087568B" w:rsidP="00C21129">
            <w:pPr>
              <w:spacing w:after="0"/>
              <w:jc w:val="center"/>
              <w:rPr>
                <w:color w:val="000000"/>
                <w:szCs w:val="24"/>
                <w:lang w:val="en-US"/>
              </w:rPr>
            </w:pPr>
            <w:r>
              <w:t>7.1</w:t>
            </w:r>
            <w:r w:rsidRPr="00264AA7">
              <w:t>%</w:t>
            </w:r>
          </w:p>
        </w:tc>
        <w:tc>
          <w:tcPr>
            <w:tcW w:w="1162" w:type="dxa"/>
            <w:tcBorders>
              <w:top w:val="single" w:sz="8" w:space="0" w:color="auto"/>
              <w:left w:val="nil"/>
              <w:bottom w:val="single" w:sz="8" w:space="0" w:color="auto"/>
              <w:right w:val="single" w:sz="4" w:space="0" w:color="auto"/>
            </w:tcBorders>
            <w:vAlign w:val="center"/>
          </w:tcPr>
          <w:p w:rsidR="0087568B" w:rsidRPr="00A07D1C" w:rsidRDefault="0087568B" w:rsidP="00C21129">
            <w:pPr>
              <w:spacing w:after="0"/>
              <w:jc w:val="center"/>
              <w:rPr>
                <w:color w:val="000000"/>
                <w:szCs w:val="24"/>
                <w:lang w:val="en-US"/>
              </w:rPr>
            </w:pPr>
            <w:r w:rsidRPr="00ED3D80">
              <w:t>3.73</w:t>
            </w:r>
          </w:p>
        </w:tc>
        <w:tc>
          <w:tcPr>
            <w:tcW w:w="845" w:type="dxa"/>
            <w:tcBorders>
              <w:top w:val="nil"/>
              <w:left w:val="single" w:sz="4" w:space="0" w:color="auto"/>
              <w:bottom w:val="single" w:sz="8" w:space="0" w:color="auto"/>
              <w:right w:val="single" w:sz="4" w:space="0" w:color="auto"/>
            </w:tcBorders>
            <w:shd w:val="clear" w:color="auto" w:fill="auto"/>
            <w:noWrap/>
            <w:vAlign w:val="center"/>
          </w:tcPr>
          <w:p w:rsidR="0087568B" w:rsidRPr="00A07D1C" w:rsidRDefault="0087568B" w:rsidP="00C21129">
            <w:pPr>
              <w:spacing w:after="0"/>
              <w:jc w:val="center"/>
              <w:rPr>
                <w:color w:val="000000"/>
                <w:szCs w:val="24"/>
                <w:lang w:val="en-US"/>
              </w:rPr>
            </w:pPr>
            <w:r w:rsidRPr="00ED3D80">
              <w:t>2.87</w:t>
            </w:r>
          </w:p>
        </w:tc>
        <w:tc>
          <w:tcPr>
            <w:tcW w:w="1744" w:type="dxa"/>
            <w:tcBorders>
              <w:top w:val="nil"/>
              <w:left w:val="nil"/>
              <w:bottom w:val="single" w:sz="8" w:space="0" w:color="auto"/>
              <w:right w:val="single" w:sz="8" w:space="0" w:color="auto"/>
            </w:tcBorders>
            <w:shd w:val="clear" w:color="auto" w:fill="auto"/>
            <w:noWrap/>
            <w:vAlign w:val="center"/>
          </w:tcPr>
          <w:p w:rsidR="0087568B" w:rsidRPr="00A07D1C" w:rsidRDefault="0087568B" w:rsidP="00C21129">
            <w:pPr>
              <w:spacing w:after="0"/>
              <w:jc w:val="center"/>
              <w:rPr>
                <w:color w:val="000000"/>
                <w:szCs w:val="24"/>
                <w:lang w:val="en-US"/>
              </w:rPr>
            </w:pPr>
            <w:r>
              <w:t>23</w:t>
            </w:r>
            <w:r w:rsidRPr="00ED3D80">
              <w:t>%</w:t>
            </w:r>
          </w:p>
        </w:tc>
      </w:tr>
      <w:tr w:rsidR="0087568B" w:rsidRPr="00EF4A8B" w:rsidTr="00410190">
        <w:trPr>
          <w:trHeight w:val="324"/>
          <w:jc w:val="center"/>
        </w:trPr>
        <w:tc>
          <w:tcPr>
            <w:tcW w:w="566" w:type="dxa"/>
            <w:tcBorders>
              <w:top w:val="nil"/>
              <w:left w:val="single" w:sz="8" w:space="0" w:color="auto"/>
              <w:bottom w:val="single" w:sz="8" w:space="0" w:color="auto"/>
              <w:right w:val="single" w:sz="8" w:space="0" w:color="auto"/>
            </w:tcBorders>
            <w:shd w:val="clear" w:color="auto" w:fill="auto"/>
            <w:noWrap/>
            <w:vAlign w:val="bottom"/>
            <w:hideMark/>
          </w:tcPr>
          <w:p w:rsidR="0087568B" w:rsidRPr="00A07D1C" w:rsidRDefault="0087568B" w:rsidP="00360BF5">
            <w:pPr>
              <w:spacing w:after="0"/>
              <w:jc w:val="center"/>
              <w:rPr>
                <w:b/>
                <w:bCs/>
                <w:color w:val="000000"/>
                <w:szCs w:val="22"/>
                <w:lang w:val="en-US"/>
              </w:rPr>
            </w:pPr>
            <w:r w:rsidRPr="00A07D1C">
              <w:rPr>
                <w:b/>
                <w:bCs/>
                <w:color w:val="000000"/>
                <w:szCs w:val="22"/>
                <w:lang w:val="en-US"/>
              </w:rPr>
              <w:t>UL</w:t>
            </w:r>
          </w:p>
        </w:tc>
        <w:tc>
          <w:tcPr>
            <w:tcW w:w="1116" w:type="dxa"/>
            <w:tcBorders>
              <w:top w:val="single" w:sz="8" w:space="0" w:color="auto"/>
              <w:left w:val="nil"/>
              <w:bottom w:val="single" w:sz="8" w:space="0" w:color="auto"/>
              <w:right w:val="single" w:sz="4" w:space="0" w:color="auto"/>
            </w:tcBorders>
            <w:vAlign w:val="center"/>
          </w:tcPr>
          <w:p w:rsidR="0087568B" w:rsidRPr="00A07D1C" w:rsidRDefault="0087568B" w:rsidP="00C21129">
            <w:pPr>
              <w:spacing w:after="0"/>
              <w:jc w:val="center"/>
              <w:rPr>
                <w:color w:val="000000"/>
                <w:szCs w:val="24"/>
                <w:lang w:val="en-US"/>
              </w:rPr>
            </w:pPr>
            <w:r>
              <w:rPr>
                <w:color w:val="000000"/>
              </w:rPr>
              <w:t>2.71</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87568B" w:rsidRPr="00A07D1C" w:rsidRDefault="0087568B" w:rsidP="00C21129">
            <w:pPr>
              <w:spacing w:after="0"/>
              <w:jc w:val="center"/>
              <w:rPr>
                <w:color w:val="000000"/>
                <w:szCs w:val="24"/>
                <w:lang w:val="en-US"/>
              </w:rPr>
            </w:pPr>
            <w:r>
              <w:rPr>
                <w:color w:val="000000"/>
              </w:rPr>
              <w:t>2.45</w:t>
            </w:r>
          </w:p>
        </w:tc>
        <w:tc>
          <w:tcPr>
            <w:tcW w:w="1744" w:type="dxa"/>
            <w:tcBorders>
              <w:top w:val="nil"/>
              <w:left w:val="nil"/>
              <w:bottom w:val="single" w:sz="8" w:space="0" w:color="auto"/>
              <w:right w:val="single" w:sz="8" w:space="0" w:color="auto"/>
            </w:tcBorders>
            <w:shd w:val="clear" w:color="auto" w:fill="auto"/>
            <w:noWrap/>
            <w:vAlign w:val="center"/>
          </w:tcPr>
          <w:p w:rsidR="0087568B" w:rsidRPr="00A07D1C" w:rsidRDefault="0087568B" w:rsidP="00C21129">
            <w:pPr>
              <w:spacing w:after="0"/>
              <w:jc w:val="center"/>
              <w:rPr>
                <w:color w:val="000000"/>
                <w:szCs w:val="24"/>
                <w:lang w:val="en-US"/>
              </w:rPr>
            </w:pPr>
            <w:r>
              <w:rPr>
                <w:color w:val="000000"/>
              </w:rPr>
              <w:t>9.5%</w:t>
            </w:r>
          </w:p>
        </w:tc>
        <w:tc>
          <w:tcPr>
            <w:tcW w:w="1162" w:type="dxa"/>
            <w:tcBorders>
              <w:top w:val="single" w:sz="8" w:space="0" w:color="auto"/>
              <w:left w:val="nil"/>
              <w:bottom w:val="single" w:sz="8" w:space="0" w:color="auto"/>
              <w:right w:val="single" w:sz="4" w:space="0" w:color="auto"/>
            </w:tcBorders>
            <w:vAlign w:val="center"/>
          </w:tcPr>
          <w:p w:rsidR="0087568B" w:rsidRPr="00A07D1C" w:rsidRDefault="0087568B" w:rsidP="00C21129">
            <w:pPr>
              <w:spacing w:after="0"/>
              <w:jc w:val="center"/>
              <w:rPr>
                <w:color w:val="000000"/>
                <w:szCs w:val="24"/>
                <w:lang w:val="en-US"/>
              </w:rPr>
            </w:pPr>
            <w:r>
              <w:rPr>
                <w:color w:val="000000"/>
              </w:rPr>
              <w:t>1.79</w:t>
            </w:r>
          </w:p>
        </w:tc>
        <w:tc>
          <w:tcPr>
            <w:tcW w:w="845" w:type="dxa"/>
            <w:tcBorders>
              <w:top w:val="nil"/>
              <w:left w:val="single" w:sz="4" w:space="0" w:color="auto"/>
              <w:bottom w:val="single" w:sz="8" w:space="0" w:color="auto"/>
              <w:right w:val="single" w:sz="4" w:space="0" w:color="auto"/>
            </w:tcBorders>
            <w:shd w:val="clear" w:color="auto" w:fill="auto"/>
            <w:noWrap/>
            <w:vAlign w:val="center"/>
          </w:tcPr>
          <w:p w:rsidR="0087568B" w:rsidRPr="00A07D1C" w:rsidRDefault="0087568B" w:rsidP="00C21129">
            <w:pPr>
              <w:spacing w:after="0"/>
              <w:jc w:val="center"/>
              <w:rPr>
                <w:color w:val="000000"/>
                <w:szCs w:val="24"/>
                <w:lang w:val="en-US"/>
              </w:rPr>
            </w:pPr>
            <w:r>
              <w:rPr>
                <w:color w:val="000000"/>
              </w:rPr>
              <w:t>1.19</w:t>
            </w:r>
          </w:p>
        </w:tc>
        <w:tc>
          <w:tcPr>
            <w:tcW w:w="1744" w:type="dxa"/>
            <w:tcBorders>
              <w:top w:val="nil"/>
              <w:left w:val="nil"/>
              <w:bottom w:val="single" w:sz="8" w:space="0" w:color="auto"/>
              <w:right w:val="single" w:sz="8" w:space="0" w:color="auto"/>
            </w:tcBorders>
            <w:shd w:val="clear" w:color="auto" w:fill="auto"/>
            <w:noWrap/>
            <w:vAlign w:val="center"/>
          </w:tcPr>
          <w:p w:rsidR="0087568B" w:rsidRPr="00A07D1C" w:rsidRDefault="0087568B" w:rsidP="00C21129">
            <w:pPr>
              <w:spacing w:after="0"/>
              <w:jc w:val="center"/>
              <w:rPr>
                <w:color w:val="000000"/>
                <w:szCs w:val="24"/>
                <w:lang w:val="en-US"/>
              </w:rPr>
            </w:pPr>
            <w:r>
              <w:rPr>
                <w:color w:val="000000"/>
              </w:rPr>
              <w:t>33.5%</w:t>
            </w:r>
          </w:p>
        </w:tc>
      </w:tr>
    </w:tbl>
    <w:p w:rsidR="00D0115D" w:rsidRDefault="00D0115D" w:rsidP="00A07D1C">
      <w:pPr>
        <w:jc w:val="both"/>
        <w:rPr>
          <w:lang w:val="en-US"/>
        </w:rPr>
      </w:pPr>
    </w:p>
    <w:p w:rsidR="00794924" w:rsidRDefault="00794924" w:rsidP="00A07D1C">
      <w:pPr>
        <w:jc w:val="both"/>
        <w:rPr>
          <w:lang w:val="en-US"/>
        </w:rPr>
      </w:pPr>
      <w:r>
        <w:rPr>
          <w:lang w:val="en-US"/>
        </w:rPr>
        <w:t xml:space="preserve">In summary, even for UMi case it can be concluded that a UE designed to achieve an antenna gain CDF similar to </w:t>
      </w:r>
      <w:r w:rsidR="005F7DA2">
        <w:rPr>
          <w:lang w:val="en-US"/>
        </w:rPr>
        <w:t xml:space="preserve">TR CFG </w:t>
      </w:r>
      <w:r>
        <w:rPr>
          <w:lang w:val="en-US"/>
        </w:rPr>
        <w:t>shows significant performance improve</w:t>
      </w:r>
      <w:r w:rsidR="007E7C9C">
        <w:rPr>
          <w:lang w:val="en-US"/>
        </w:rPr>
        <w:t>ment</w:t>
      </w:r>
      <w:r>
        <w:rPr>
          <w:lang w:val="en-US"/>
        </w:rPr>
        <w:t xml:space="preserve"> compare</w:t>
      </w:r>
      <w:r w:rsidR="007E7C9C">
        <w:rPr>
          <w:lang w:val="en-US"/>
        </w:rPr>
        <w:t>d</w:t>
      </w:r>
      <w:r>
        <w:rPr>
          <w:lang w:val="en-US"/>
        </w:rPr>
        <w:t xml:space="preserve"> to a single module UE. The gains are observed in both DL and UL, for mean and 5%-tile throughput. </w:t>
      </w:r>
    </w:p>
    <w:p w:rsidR="00794924" w:rsidRDefault="00794924" w:rsidP="00A07D1C">
      <w:pPr>
        <w:jc w:val="both"/>
        <w:rPr>
          <w:lang w:val="en-US"/>
        </w:rPr>
      </w:pPr>
      <w:r>
        <w:rPr>
          <w:lang w:val="en-US"/>
        </w:rPr>
        <w:t>As already argument</w:t>
      </w:r>
      <w:r w:rsidR="007E7C9C">
        <w:rPr>
          <w:lang w:val="en-US"/>
        </w:rPr>
        <w:t>ed</w:t>
      </w:r>
      <w:r>
        <w:rPr>
          <w:lang w:val="en-US"/>
        </w:rPr>
        <w:t xml:space="preserve"> for the InH case, a hand blockage causing obstruction of one panel will also increase the performance gap </w:t>
      </w:r>
      <w:r w:rsidR="00D7580F">
        <w:rPr>
          <w:lang w:val="en-US"/>
        </w:rPr>
        <w:t xml:space="preserve">between </w:t>
      </w:r>
      <w:r>
        <w:rPr>
          <w:lang w:val="en-US"/>
        </w:rPr>
        <w:t xml:space="preserve">CFG1 and </w:t>
      </w:r>
      <w:r w:rsidR="009A5F2D">
        <w:rPr>
          <w:lang w:val="en-US"/>
        </w:rPr>
        <w:t>TR CFG</w:t>
      </w:r>
      <w:r>
        <w:rPr>
          <w:lang w:val="en-US"/>
        </w:rPr>
        <w:t>.</w:t>
      </w:r>
    </w:p>
    <w:p w:rsidR="007D3C53" w:rsidRPr="007D3C53" w:rsidRDefault="001B03AB" w:rsidP="00B64BEC">
      <w:pPr>
        <w:pStyle w:val="Heading3"/>
        <w:rPr>
          <w:lang w:val="en-US"/>
        </w:rPr>
      </w:pPr>
      <w:r w:rsidRPr="007D3C53">
        <w:rPr>
          <w:lang w:val="en-US"/>
        </w:rPr>
        <w:t xml:space="preserve">Results </w:t>
      </w:r>
      <w:r w:rsidR="007215B8" w:rsidRPr="007D3C53">
        <w:rPr>
          <w:lang w:val="en-US"/>
        </w:rPr>
        <w:t>U</w:t>
      </w:r>
      <w:r w:rsidR="007215B8">
        <w:rPr>
          <w:lang w:val="en-US"/>
        </w:rPr>
        <w:t>M</w:t>
      </w:r>
      <w:r w:rsidR="007215B8" w:rsidRPr="007D3C53">
        <w:rPr>
          <w:lang w:val="en-US"/>
        </w:rPr>
        <w:t>a</w:t>
      </w:r>
    </w:p>
    <w:p w:rsidR="007D3C53" w:rsidRDefault="007D3C53" w:rsidP="001F2E0B">
      <w:pPr>
        <w:jc w:val="both"/>
        <w:rPr>
          <w:lang w:val="en-US"/>
        </w:rPr>
      </w:pPr>
      <w:r>
        <w:rPr>
          <w:lang w:val="en-US"/>
        </w:rPr>
        <w:t xml:space="preserve">This </w:t>
      </w:r>
      <w:r w:rsidR="00EF4A8B">
        <w:rPr>
          <w:lang w:val="en-US"/>
        </w:rPr>
        <w:t xml:space="preserve">section </w:t>
      </w:r>
      <w:r>
        <w:rPr>
          <w:lang w:val="en-US"/>
        </w:rPr>
        <w:t xml:space="preserve">analyzes UMa deployment both for DL and UL setting. The analysis is very similar to the above for InH and UMi settings and will focus on SINR CDF differences between </w:t>
      </w:r>
      <w:r w:rsidR="00E77486">
        <w:rPr>
          <w:lang w:val="en-US"/>
        </w:rPr>
        <w:t>two different panel configuration</w:t>
      </w:r>
      <w:r w:rsidR="007E7C9C">
        <w:rPr>
          <w:lang w:val="en-US"/>
        </w:rPr>
        <w:t>s</w:t>
      </w:r>
      <w:r w:rsidR="00434069">
        <w:rPr>
          <w:lang w:val="en-US"/>
        </w:rPr>
        <w:t>.</w:t>
      </w:r>
      <w:r w:rsidR="00F35789">
        <w:rPr>
          <w:lang w:val="en-US"/>
        </w:rPr>
        <w:t xml:space="preserve"> </w:t>
      </w:r>
      <w:r>
        <w:rPr>
          <w:lang w:val="en-US"/>
        </w:rPr>
        <w:t>Simulation results are shown for different parameters such as:</w:t>
      </w:r>
    </w:p>
    <w:p w:rsidR="00EF4A8B" w:rsidRPr="00A07D1C" w:rsidRDefault="007D3C53" w:rsidP="007167BD">
      <w:pPr>
        <w:pStyle w:val="ListParagraph"/>
        <w:numPr>
          <w:ilvl w:val="0"/>
          <w:numId w:val="13"/>
        </w:numPr>
        <w:jc w:val="both"/>
        <w:rPr>
          <w:lang w:val="en-US"/>
        </w:rPr>
      </w:pPr>
      <w:r w:rsidRPr="00A07D1C">
        <w:rPr>
          <w:lang w:val="en-US"/>
        </w:rPr>
        <w:t xml:space="preserve">ISD = </w:t>
      </w:r>
      <w:r w:rsidR="00E77486" w:rsidRPr="00A07D1C">
        <w:rPr>
          <w:lang w:val="en-US"/>
        </w:rPr>
        <w:t>2</w:t>
      </w:r>
      <w:r w:rsidR="00B42DE0" w:rsidRPr="00A07D1C">
        <w:rPr>
          <w:lang w:val="en-US"/>
        </w:rPr>
        <w:t xml:space="preserve">00m </w:t>
      </w:r>
      <w:r w:rsidRPr="00A07D1C">
        <w:rPr>
          <w:lang w:val="en-US"/>
        </w:rPr>
        <w:t>and 400 m</w:t>
      </w:r>
    </w:p>
    <w:p w:rsidR="00EF4A8B" w:rsidRPr="00A07D1C" w:rsidRDefault="007D3C53" w:rsidP="00A07D1C">
      <w:pPr>
        <w:pStyle w:val="ListParagraph"/>
        <w:numPr>
          <w:ilvl w:val="0"/>
          <w:numId w:val="13"/>
        </w:numPr>
        <w:jc w:val="both"/>
        <w:rPr>
          <w:lang w:val="en-US"/>
        </w:rPr>
      </w:pPr>
      <w:r w:rsidRPr="00A07D1C">
        <w:rPr>
          <w:lang w:val="en-US"/>
        </w:rPr>
        <w:t xml:space="preserve">Indoor UE ratio = 0% </w:t>
      </w:r>
    </w:p>
    <w:p w:rsidR="00EF4A8B" w:rsidRPr="00A07D1C" w:rsidRDefault="00EF4A8B" w:rsidP="00A07D1C">
      <w:pPr>
        <w:pStyle w:val="ListParagraph"/>
        <w:numPr>
          <w:ilvl w:val="0"/>
          <w:numId w:val="13"/>
        </w:numPr>
        <w:jc w:val="both"/>
        <w:rPr>
          <w:lang w:val="en-US"/>
        </w:rPr>
      </w:pPr>
      <w:r w:rsidRPr="00A07D1C">
        <w:rPr>
          <w:lang w:val="en-US"/>
        </w:rPr>
        <w:t>No blockage</w:t>
      </w:r>
    </w:p>
    <w:p w:rsidR="00EF4A8B" w:rsidRPr="00A07D1C" w:rsidRDefault="00EF4A8B" w:rsidP="00A07D1C">
      <w:pPr>
        <w:pStyle w:val="ListParagraph"/>
        <w:numPr>
          <w:ilvl w:val="0"/>
          <w:numId w:val="13"/>
        </w:numPr>
        <w:jc w:val="both"/>
        <w:rPr>
          <w:lang w:val="en-US"/>
        </w:rPr>
      </w:pPr>
      <w:r w:rsidRPr="00A07D1C">
        <w:rPr>
          <w:lang w:val="en-US"/>
        </w:rPr>
        <w:t>Channel BW = 200MHz</w:t>
      </w:r>
      <w:r w:rsidR="00F35789">
        <w:rPr>
          <w:lang w:val="en-US"/>
        </w:rPr>
        <w:t xml:space="preserve"> and 20MHz</w:t>
      </w:r>
    </w:p>
    <w:p w:rsidR="00EF4A8B" w:rsidRPr="00EF4A8B" w:rsidRDefault="00EF4A8B" w:rsidP="00A07D1C">
      <w:pPr>
        <w:jc w:val="both"/>
        <w:rPr>
          <w:lang w:val="en-US"/>
        </w:rPr>
      </w:pPr>
      <w:r w:rsidRPr="00A07D1C">
        <w:rPr>
          <w:lang w:val="en-US"/>
        </w:rPr>
        <w:t xml:space="preserve">The </w:t>
      </w:r>
      <w:r w:rsidR="008943FE">
        <w:rPr>
          <w:lang w:val="en-US"/>
        </w:rPr>
        <w:t xml:space="preserve">DL and UL SINR CDF for the above configurations are shown in </w:t>
      </w:r>
      <w:r w:rsidR="00273F70">
        <w:rPr>
          <w:lang w:val="en-US"/>
        </w:rPr>
        <w:fldChar w:fldCharType="begin"/>
      </w:r>
      <w:r w:rsidR="00273F70">
        <w:rPr>
          <w:lang w:val="en-US"/>
        </w:rPr>
        <w:instrText xml:space="preserve"> REF _Ref506481374 \h </w:instrText>
      </w:r>
      <w:r w:rsidR="00273F70">
        <w:rPr>
          <w:lang w:val="en-US"/>
        </w:rPr>
      </w:r>
      <w:r w:rsidR="00273F70">
        <w:rPr>
          <w:lang w:val="en-US"/>
        </w:rPr>
        <w:fldChar w:fldCharType="separate"/>
      </w:r>
      <w:r w:rsidR="00516FE0">
        <w:t xml:space="preserve">Figure </w:t>
      </w:r>
      <w:r w:rsidR="00516FE0">
        <w:rPr>
          <w:noProof/>
        </w:rPr>
        <w:t>8</w:t>
      </w:r>
      <w:r w:rsidR="00273F70">
        <w:rPr>
          <w:lang w:val="en-US"/>
        </w:rPr>
        <w:fldChar w:fldCharType="end"/>
      </w:r>
      <w:r w:rsidR="00273F70">
        <w:rPr>
          <w:lang w:val="en-US"/>
        </w:rPr>
        <w:t xml:space="preserve"> and </w:t>
      </w:r>
      <w:r w:rsidR="00273F70">
        <w:rPr>
          <w:lang w:val="en-US"/>
        </w:rPr>
        <w:fldChar w:fldCharType="begin"/>
      </w:r>
      <w:r w:rsidR="00273F70">
        <w:rPr>
          <w:lang w:val="en-US"/>
        </w:rPr>
        <w:instrText xml:space="preserve"> REF _Ref506808869 \h </w:instrText>
      </w:r>
      <w:r w:rsidR="00273F70">
        <w:rPr>
          <w:lang w:val="en-US"/>
        </w:rPr>
      </w:r>
      <w:r w:rsidR="00273F70">
        <w:rPr>
          <w:lang w:val="en-US"/>
        </w:rPr>
        <w:fldChar w:fldCharType="separate"/>
      </w:r>
      <w:r w:rsidR="00516FE0">
        <w:t xml:space="preserve">Figure </w:t>
      </w:r>
      <w:r w:rsidR="00516FE0">
        <w:rPr>
          <w:noProof/>
        </w:rPr>
        <w:t>9</w:t>
      </w:r>
      <w:r w:rsidR="00273F70">
        <w:rPr>
          <w:lang w:val="en-US"/>
        </w:rPr>
        <w:fldChar w:fldCharType="end"/>
      </w:r>
      <w:r w:rsidR="00273F70">
        <w:rPr>
          <w:lang w:val="en-US"/>
        </w:rPr>
        <w:t>, respectively.</w:t>
      </w:r>
    </w:p>
    <w:p w:rsidR="00E77486" w:rsidRDefault="00EF4A8B" w:rsidP="00A07D1C">
      <w:pPr>
        <w:pStyle w:val="ListParagraph"/>
      </w:pPr>
      <w:r w:rsidRPr="00EF4A8B">
        <w:t xml:space="preserve"> </w:t>
      </w:r>
      <w:r w:rsidR="000A210F" w:rsidRPr="000A210F">
        <w:t xml:space="preserve"> </w:t>
      </w:r>
      <w:r w:rsidR="00CC1217" w:rsidRPr="00CC1217">
        <w:t xml:space="preserve"> </w:t>
      </w:r>
      <w:r w:rsidR="00CC1217" w:rsidRPr="00CC1217">
        <w:rPr>
          <w:noProof/>
        </w:rPr>
        <w:drawing>
          <wp:inline distT="0" distB="0" distL="0" distR="0" wp14:anchorId="02BD2BC8" wp14:editId="3673B60F">
            <wp:extent cx="5325745" cy="3994150"/>
            <wp:effectExtent l="0" t="0" r="825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F4A8B" w:rsidRDefault="00E77486" w:rsidP="00EF4A8B">
      <w:pPr>
        <w:pStyle w:val="Caption"/>
        <w:jc w:val="center"/>
      </w:pPr>
      <w:bookmarkStart w:id="19" w:name="_Ref506481374"/>
      <w:r>
        <w:lastRenderedPageBreak/>
        <w:t xml:space="preserve">Figure </w:t>
      </w:r>
      <w:r w:rsidR="003733B8">
        <w:fldChar w:fldCharType="begin"/>
      </w:r>
      <w:r w:rsidR="003733B8">
        <w:instrText xml:space="preserve"> SEQ Figure \* ARABIC </w:instrText>
      </w:r>
      <w:r w:rsidR="003733B8">
        <w:fldChar w:fldCharType="separate"/>
      </w:r>
      <w:r w:rsidR="003733B8">
        <w:rPr>
          <w:noProof/>
        </w:rPr>
        <w:t>8</w:t>
      </w:r>
      <w:r w:rsidR="003733B8">
        <w:fldChar w:fldCharType="end"/>
      </w:r>
      <w:bookmarkEnd w:id="19"/>
      <w:r>
        <w:t xml:space="preserve">. </w:t>
      </w:r>
      <w:r w:rsidR="00EF4A8B">
        <w:t>UMa</w:t>
      </w:r>
      <w:r w:rsidR="00EF4A8B" w:rsidRPr="00D32BD9">
        <w:t xml:space="preserve"> </w:t>
      </w:r>
      <w:r w:rsidR="00EF4A8B">
        <w:t>D</w:t>
      </w:r>
      <w:r w:rsidR="00EF4A8B" w:rsidRPr="00D32BD9">
        <w:t xml:space="preserve">L </w:t>
      </w:r>
      <w:r w:rsidR="007E7C9C">
        <w:t>SINR</w:t>
      </w:r>
      <w:r w:rsidR="007E7C9C" w:rsidRPr="00D32BD9">
        <w:t xml:space="preserve"> </w:t>
      </w:r>
      <w:r w:rsidR="00EF4A8B" w:rsidRPr="00D32BD9">
        <w:t xml:space="preserve">CDF </w:t>
      </w:r>
      <w:r w:rsidR="00EF4A8B">
        <w:t>– no blockage, all UEs outdoor, BW = 200MHz</w:t>
      </w:r>
      <w:r w:rsidR="00EF4A8B" w:rsidRPr="00D32BD9">
        <w:t>.</w:t>
      </w:r>
    </w:p>
    <w:p w:rsidR="00EF4A8B" w:rsidRDefault="000A210F" w:rsidP="00A07D1C">
      <w:pPr>
        <w:keepNext/>
        <w:jc w:val="center"/>
      </w:pPr>
      <w:r w:rsidRPr="000A210F">
        <w:t xml:space="preserve"> </w:t>
      </w:r>
      <w:r w:rsidR="00CC1217" w:rsidRPr="00CC1217">
        <w:t xml:space="preserve"> </w:t>
      </w:r>
      <w:r w:rsidR="00CC1217" w:rsidRPr="00CC1217">
        <w:rPr>
          <w:noProof/>
        </w:rPr>
        <w:drawing>
          <wp:inline distT="0" distB="0" distL="0" distR="0" wp14:anchorId="2A40D7CC" wp14:editId="2D664480">
            <wp:extent cx="5325745" cy="3994150"/>
            <wp:effectExtent l="0" t="0" r="825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F4A8B" w:rsidRDefault="00EF4A8B" w:rsidP="00EF4A8B">
      <w:pPr>
        <w:pStyle w:val="Caption"/>
        <w:jc w:val="center"/>
      </w:pPr>
      <w:bookmarkStart w:id="20" w:name="_Ref506808869"/>
      <w:r>
        <w:t xml:space="preserve">Figure </w:t>
      </w:r>
      <w:r w:rsidR="003733B8">
        <w:fldChar w:fldCharType="begin"/>
      </w:r>
      <w:r w:rsidR="003733B8">
        <w:instrText xml:space="preserve"> SEQ Figure \* ARABIC </w:instrText>
      </w:r>
      <w:r w:rsidR="003733B8">
        <w:fldChar w:fldCharType="separate"/>
      </w:r>
      <w:r w:rsidR="003733B8">
        <w:rPr>
          <w:noProof/>
        </w:rPr>
        <w:t>9</w:t>
      </w:r>
      <w:r w:rsidR="003733B8">
        <w:fldChar w:fldCharType="end"/>
      </w:r>
      <w:bookmarkEnd w:id="20"/>
      <w:r>
        <w:t>. UMa</w:t>
      </w:r>
      <w:r w:rsidRPr="00D32BD9">
        <w:t xml:space="preserve"> </w:t>
      </w:r>
      <w:r>
        <w:t>U</w:t>
      </w:r>
      <w:r w:rsidRPr="00D32BD9">
        <w:t xml:space="preserve">L </w:t>
      </w:r>
      <w:r w:rsidR="007E7C9C">
        <w:t>SINR</w:t>
      </w:r>
      <w:r w:rsidR="007E7C9C" w:rsidRPr="00D32BD9">
        <w:t xml:space="preserve"> </w:t>
      </w:r>
      <w:r w:rsidRPr="00D32BD9">
        <w:t xml:space="preserve">CDF </w:t>
      </w:r>
      <w:r>
        <w:t>– no blockage, all UEs outdoor, BW = 200MHz</w:t>
      </w:r>
      <w:r w:rsidRPr="00D32BD9">
        <w:t>.</w:t>
      </w:r>
    </w:p>
    <w:p w:rsidR="00CC1217" w:rsidRDefault="00CC1217" w:rsidP="00A07D1C">
      <w:pPr>
        <w:pStyle w:val="Caption"/>
        <w:jc w:val="both"/>
        <w:rPr>
          <w:b w:val="0"/>
        </w:rPr>
      </w:pPr>
    </w:p>
    <w:p w:rsidR="00EF4A8B" w:rsidRPr="00A07D1C" w:rsidRDefault="00273F70" w:rsidP="00A07D1C">
      <w:pPr>
        <w:pStyle w:val="Caption"/>
        <w:jc w:val="both"/>
        <w:rPr>
          <w:b w:val="0"/>
        </w:rPr>
      </w:pPr>
      <w:r w:rsidRPr="00A07D1C">
        <w:rPr>
          <w:b w:val="0"/>
        </w:rPr>
        <w:t>The s</w:t>
      </w:r>
      <w:r>
        <w:rPr>
          <w:b w:val="0"/>
        </w:rPr>
        <w:t xml:space="preserve">ummary of throughput performance, including the gain of </w:t>
      </w:r>
      <w:r w:rsidR="00CC1217">
        <w:rPr>
          <w:b w:val="0"/>
        </w:rPr>
        <w:t xml:space="preserve">TR CFG </w:t>
      </w:r>
      <w:r>
        <w:rPr>
          <w:b w:val="0"/>
        </w:rPr>
        <w:t xml:space="preserve">over CFG1 is shown in </w:t>
      </w:r>
      <w:r w:rsidR="000A210F" w:rsidRPr="00C21129">
        <w:rPr>
          <w:b w:val="0"/>
        </w:rPr>
        <w:fldChar w:fldCharType="begin"/>
      </w:r>
      <w:r w:rsidR="000A210F" w:rsidRPr="00C21129">
        <w:rPr>
          <w:b w:val="0"/>
        </w:rPr>
        <w:instrText xml:space="preserve"> REF _Ref510693097 \h  \* MERGEFORMAT </w:instrText>
      </w:r>
      <w:r w:rsidR="000A210F" w:rsidRPr="00C21129">
        <w:rPr>
          <w:b w:val="0"/>
        </w:rPr>
      </w:r>
      <w:r w:rsidR="000A210F" w:rsidRPr="00C21129">
        <w:rPr>
          <w:b w:val="0"/>
        </w:rPr>
        <w:fldChar w:fldCharType="separate"/>
      </w:r>
      <w:r w:rsidR="00516FE0" w:rsidRPr="000479EC">
        <w:rPr>
          <w:b w:val="0"/>
        </w:rPr>
        <w:t xml:space="preserve">Table </w:t>
      </w:r>
      <w:r w:rsidR="00516FE0" w:rsidRPr="000479EC">
        <w:rPr>
          <w:b w:val="0"/>
          <w:noProof/>
        </w:rPr>
        <w:t>5</w:t>
      </w:r>
      <w:r w:rsidR="000A210F" w:rsidRPr="00C21129">
        <w:rPr>
          <w:b w:val="0"/>
        </w:rPr>
        <w:fldChar w:fldCharType="end"/>
      </w:r>
      <w:r w:rsidRPr="00C21129">
        <w:t>.</w:t>
      </w:r>
      <w:r w:rsidR="000D6455">
        <w:rPr>
          <w:b w:val="0"/>
        </w:rPr>
        <w:t xml:space="preserve"> Since this is a typical noise limited scenario, in order to improve the link budget and reduce the outage, we analyze the 20MHz configuration as well.</w:t>
      </w:r>
      <w:r>
        <w:rPr>
          <w:b w:val="0"/>
        </w:rPr>
        <w:t xml:space="preserve"> As it can be observed the degradation due to a single panel configuration can be </w:t>
      </w:r>
      <w:r w:rsidR="007E7C9C">
        <w:rPr>
          <w:b w:val="0"/>
        </w:rPr>
        <w:t xml:space="preserve">quite </w:t>
      </w:r>
      <w:r>
        <w:rPr>
          <w:b w:val="0"/>
        </w:rPr>
        <w:t xml:space="preserve">severe compared to a multi-panel UE. The 5%-tile throughput can be impacted up to </w:t>
      </w:r>
      <w:r w:rsidR="00227ED5">
        <w:rPr>
          <w:b w:val="0"/>
        </w:rPr>
        <w:t>56.7</w:t>
      </w:r>
      <w:r>
        <w:rPr>
          <w:b w:val="0"/>
        </w:rPr>
        <w:t>%, while the m</w:t>
      </w:r>
      <w:r w:rsidR="008768C4">
        <w:rPr>
          <w:b w:val="0"/>
        </w:rPr>
        <w:t>e</w:t>
      </w:r>
      <w:r>
        <w:rPr>
          <w:b w:val="0"/>
        </w:rPr>
        <w:t xml:space="preserve">an throughput impact goes up to </w:t>
      </w:r>
      <w:r w:rsidR="00227ED5">
        <w:rPr>
          <w:b w:val="0"/>
        </w:rPr>
        <w:t>20.5</w:t>
      </w:r>
      <w:r>
        <w:rPr>
          <w:b w:val="0"/>
        </w:rPr>
        <w:t>%.</w:t>
      </w:r>
    </w:p>
    <w:p w:rsidR="00EF4A8B" w:rsidRDefault="00EF4A8B" w:rsidP="00A07D1C">
      <w:pPr>
        <w:pStyle w:val="Caption"/>
        <w:keepNext/>
        <w:jc w:val="center"/>
      </w:pPr>
      <w:bookmarkStart w:id="21" w:name="_Ref510693097"/>
      <w:bookmarkStart w:id="22" w:name="_Ref511478276"/>
      <w:r>
        <w:t xml:space="preserve">Table </w:t>
      </w:r>
      <w:r>
        <w:fldChar w:fldCharType="begin"/>
      </w:r>
      <w:r>
        <w:instrText xml:space="preserve"> SEQ Table \* ARABIC </w:instrText>
      </w:r>
      <w:r>
        <w:fldChar w:fldCharType="separate"/>
      </w:r>
      <w:r w:rsidR="00516FE0">
        <w:rPr>
          <w:noProof/>
        </w:rPr>
        <w:t>5</w:t>
      </w:r>
      <w:r>
        <w:fldChar w:fldCharType="end"/>
      </w:r>
      <w:bookmarkEnd w:id="21"/>
      <w:r>
        <w:t xml:space="preserve">. </w:t>
      </w:r>
      <w:r w:rsidRPr="00F427B1">
        <w:t xml:space="preserve">Throughput performance in </w:t>
      </w:r>
      <w:r>
        <w:t>UMa</w:t>
      </w:r>
      <w:r w:rsidRPr="00F427B1">
        <w:t xml:space="preserve"> scenario - no blockage.</w:t>
      </w:r>
      <w:bookmarkEnd w:id="22"/>
    </w:p>
    <w:tbl>
      <w:tblPr>
        <w:tblW w:w="9680" w:type="dxa"/>
        <w:jc w:val="center"/>
        <w:tblLayout w:type="fixed"/>
        <w:tblLook w:val="04A0" w:firstRow="1" w:lastRow="0" w:firstColumn="1" w:lastColumn="0" w:noHBand="0" w:noVBand="1"/>
      </w:tblPr>
      <w:tblGrid>
        <w:gridCol w:w="951"/>
        <w:gridCol w:w="1511"/>
        <w:gridCol w:w="1116"/>
        <w:gridCol w:w="839"/>
        <w:gridCol w:w="1747"/>
        <w:gridCol w:w="14"/>
        <w:gridCol w:w="1102"/>
        <w:gridCol w:w="739"/>
        <w:gridCol w:w="1647"/>
        <w:gridCol w:w="14"/>
      </w:tblGrid>
      <w:tr w:rsidR="00CC1217" w:rsidRPr="00273F70" w:rsidTr="00410190">
        <w:trPr>
          <w:trHeight w:val="300"/>
          <w:jc w:val="center"/>
        </w:trPr>
        <w:tc>
          <w:tcPr>
            <w:tcW w:w="951" w:type="dxa"/>
            <w:tcBorders>
              <w:top w:val="nil"/>
              <w:left w:val="nil"/>
              <w:bottom w:val="nil"/>
              <w:right w:val="nil"/>
            </w:tcBorders>
            <w:shd w:val="clear" w:color="auto" w:fill="auto"/>
            <w:noWrap/>
            <w:vAlign w:val="bottom"/>
            <w:hideMark/>
          </w:tcPr>
          <w:p w:rsidR="000A210F" w:rsidRPr="00A07D1C" w:rsidRDefault="000A210F" w:rsidP="00EF4A8B">
            <w:pPr>
              <w:spacing w:after="0"/>
              <w:rPr>
                <w:szCs w:val="24"/>
                <w:lang w:val="en-US"/>
              </w:rPr>
            </w:pPr>
          </w:p>
        </w:tc>
        <w:tc>
          <w:tcPr>
            <w:tcW w:w="1511" w:type="dxa"/>
            <w:tcBorders>
              <w:top w:val="nil"/>
              <w:left w:val="nil"/>
              <w:bottom w:val="nil"/>
              <w:right w:val="nil"/>
            </w:tcBorders>
            <w:shd w:val="clear" w:color="auto" w:fill="auto"/>
            <w:noWrap/>
            <w:vAlign w:val="bottom"/>
            <w:hideMark/>
          </w:tcPr>
          <w:p w:rsidR="000A210F" w:rsidRPr="00273F70" w:rsidRDefault="000A210F" w:rsidP="00EF4A8B">
            <w:pPr>
              <w:spacing w:after="0"/>
              <w:rPr>
                <w:lang w:val="en-US"/>
              </w:rPr>
            </w:pPr>
          </w:p>
        </w:tc>
        <w:tc>
          <w:tcPr>
            <w:tcW w:w="3716" w:type="dxa"/>
            <w:gridSpan w:val="4"/>
            <w:tcBorders>
              <w:top w:val="single" w:sz="8" w:space="0" w:color="auto"/>
              <w:left w:val="single" w:sz="8" w:space="0" w:color="auto"/>
              <w:bottom w:val="single" w:sz="8" w:space="0" w:color="auto"/>
              <w:right w:val="single" w:sz="8" w:space="0" w:color="000000"/>
            </w:tcBorders>
          </w:tcPr>
          <w:p w:rsidR="000A210F" w:rsidRPr="00A07D1C" w:rsidRDefault="000A210F" w:rsidP="00EF4A8B">
            <w:pPr>
              <w:spacing w:after="0"/>
              <w:jc w:val="center"/>
              <w:rPr>
                <w:b/>
                <w:bCs/>
                <w:color w:val="000000"/>
                <w:szCs w:val="22"/>
                <w:lang w:val="en-US"/>
              </w:rPr>
            </w:pPr>
            <w:r w:rsidRPr="00A07D1C">
              <w:rPr>
                <w:b/>
                <w:bCs/>
                <w:color w:val="000000"/>
                <w:szCs w:val="24"/>
                <w:lang w:val="en-US"/>
              </w:rPr>
              <w:t>Average Throughput</w:t>
            </w:r>
            <w:r>
              <w:rPr>
                <w:b/>
                <w:bCs/>
                <w:color w:val="000000"/>
                <w:szCs w:val="24"/>
                <w:lang w:val="en-US"/>
              </w:rPr>
              <w:t xml:space="preserve"> [bit/s/Hz]</w:t>
            </w:r>
          </w:p>
        </w:tc>
        <w:tc>
          <w:tcPr>
            <w:tcW w:w="3502" w:type="dxa"/>
            <w:gridSpan w:val="4"/>
            <w:tcBorders>
              <w:top w:val="single" w:sz="8" w:space="0" w:color="auto"/>
              <w:left w:val="nil"/>
              <w:right w:val="single" w:sz="8" w:space="0" w:color="000000"/>
            </w:tcBorders>
          </w:tcPr>
          <w:p w:rsidR="000A210F" w:rsidRPr="00A07D1C" w:rsidRDefault="000A210F" w:rsidP="00EF4A8B">
            <w:pPr>
              <w:spacing w:after="0"/>
              <w:jc w:val="center"/>
              <w:rPr>
                <w:b/>
                <w:bCs/>
                <w:color w:val="000000"/>
                <w:szCs w:val="22"/>
                <w:lang w:val="en-US"/>
              </w:rPr>
            </w:pPr>
            <w:r w:rsidRPr="00A07D1C">
              <w:rPr>
                <w:b/>
                <w:bCs/>
                <w:color w:val="000000"/>
                <w:szCs w:val="24"/>
                <w:lang w:val="en-US"/>
              </w:rPr>
              <w:t>5%-tile Throughput</w:t>
            </w:r>
            <w:r>
              <w:rPr>
                <w:b/>
                <w:bCs/>
                <w:color w:val="000000"/>
                <w:szCs w:val="24"/>
                <w:lang w:val="en-US"/>
              </w:rPr>
              <w:t xml:space="preserve"> [bit/s/Hz]</w:t>
            </w:r>
          </w:p>
        </w:tc>
      </w:tr>
      <w:tr w:rsidR="00CC1217" w:rsidRPr="00273F70" w:rsidTr="00410190">
        <w:trPr>
          <w:gridAfter w:val="1"/>
          <w:wAfter w:w="14" w:type="dxa"/>
          <w:trHeight w:val="300"/>
          <w:jc w:val="center"/>
        </w:trPr>
        <w:tc>
          <w:tcPr>
            <w:tcW w:w="951" w:type="dxa"/>
            <w:tcBorders>
              <w:top w:val="nil"/>
              <w:left w:val="nil"/>
              <w:bottom w:val="nil"/>
              <w:right w:val="nil"/>
            </w:tcBorders>
            <w:shd w:val="clear" w:color="auto" w:fill="auto"/>
            <w:noWrap/>
            <w:vAlign w:val="bottom"/>
            <w:hideMark/>
          </w:tcPr>
          <w:p w:rsidR="00CC1217" w:rsidRPr="00A07D1C" w:rsidRDefault="00CC1217" w:rsidP="00EF4A8B">
            <w:pPr>
              <w:spacing w:after="0"/>
              <w:jc w:val="center"/>
              <w:rPr>
                <w:b/>
                <w:bCs/>
                <w:color w:val="000000"/>
                <w:szCs w:val="22"/>
                <w:lang w:val="en-US"/>
              </w:rPr>
            </w:pPr>
          </w:p>
        </w:tc>
        <w:tc>
          <w:tcPr>
            <w:tcW w:w="1511" w:type="dxa"/>
            <w:tcBorders>
              <w:top w:val="nil"/>
              <w:left w:val="nil"/>
              <w:bottom w:val="nil"/>
              <w:right w:val="nil"/>
            </w:tcBorders>
            <w:shd w:val="clear" w:color="auto" w:fill="auto"/>
            <w:noWrap/>
            <w:vAlign w:val="bottom"/>
            <w:hideMark/>
          </w:tcPr>
          <w:p w:rsidR="00CC1217" w:rsidRPr="00273F70" w:rsidRDefault="00CC1217" w:rsidP="00EF4A8B">
            <w:pPr>
              <w:spacing w:after="0"/>
              <w:rPr>
                <w:lang w:val="en-US"/>
              </w:rPr>
            </w:pPr>
          </w:p>
        </w:tc>
        <w:tc>
          <w:tcPr>
            <w:tcW w:w="1116" w:type="dxa"/>
            <w:tcBorders>
              <w:top w:val="nil"/>
              <w:left w:val="single" w:sz="8" w:space="0" w:color="auto"/>
              <w:bottom w:val="single" w:sz="8" w:space="0" w:color="auto"/>
              <w:right w:val="single" w:sz="8" w:space="0" w:color="auto"/>
            </w:tcBorders>
          </w:tcPr>
          <w:p w:rsidR="00CC1217" w:rsidRDefault="00CC1217" w:rsidP="00EF4A8B">
            <w:pPr>
              <w:spacing w:after="0"/>
              <w:jc w:val="center"/>
              <w:rPr>
                <w:b/>
                <w:bCs/>
                <w:color w:val="000000"/>
                <w:szCs w:val="24"/>
                <w:lang w:val="en-US"/>
              </w:rPr>
            </w:pPr>
            <w:r>
              <w:rPr>
                <w:b/>
                <w:bCs/>
                <w:color w:val="000000"/>
                <w:szCs w:val="24"/>
                <w:lang w:val="en-US"/>
              </w:rPr>
              <w:t xml:space="preserve">TR </w:t>
            </w:r>
          </w:p>
          <w:p w:rsidR="00CC1217" w:rsidRPr="00A07D1C" w:rsidRDefault="00CC1217" w:rsidP="00EF4A8B">
            <w:pPr>
              <w:spacing w:after="0"/>
              <w:jc w:val="center"/>
              <w:rPr>
                <w:b/>
                <w:bCs/>
                <w:color w:val="000000"/>
                <w:szCs w:val="24"/>
                <w:lang w:val="en-US"/>
              </w:rPr>
            </w:pPr>
            <w:r>
              <w:rPr>
                <w:b/>
                <w:bCs/>
                <w:color w:val="000000"/>
                <w:szCs w:val="24"/>
                <w:lang w:val="en-US"/>
              </w:rPr>
              <w:t>reference</w:t>
            </w:r>
          </w:p>
        </w:tc>
        <w:tc>
          <w:tcPr>
            <w:tcW w:w="839" w:type="dxa"/>
            <w:tcBorders>
              <w:top w:val="nil"/>
              <w:left w:val="single" w:sz="8" w:space="0" w:color="auto"/>
              <w:bottom w:val="single" w:sz="8" w:space="0" w:color="auto"/>
              <w:right w:val="single" w:sz="8" w:space="0" w:color="auto"/>
            </w:tcBorders>
            <w:shd w:val="clear" w:color="auto" w:fill="auto"/>
            <w:noWrap/>
            <w:vAlign w:val="center"/>
            <w:hideMark/>
          </w:tcPr>
          <w:p w:rsidR="00CC1217" w:rsidRPr="00A07D1C" w:rsidRDefault="00CC1217" w:rsidP="00EF4A8B">
            <w:pPr>
              <w:spacing w:after="0"/>
              <w:jc w:val="center"/>
              <w:rPr>
                <w:b/>
                <w:bCs/>
                <w:color w:val="000000"/>
                <w:szCs w:val="22"/>
                <w:lang w:val="en-US"/>
              </w:rPr>
            </w:pPr>
            <w:r w:rsidRPr="00A07D1C">
              <w:rPr>
                <w:b/>
                <w:bCs/>
                <w:color w:val="000000"/>
                <w:szCs w:val="24"/>
                <w:lang w:val="en-US"/>
              </w:rPr>
              <w:t>CFG1</w:t>
            </w:r>
          </w:p>
        </w:tc>
        <w:tc>
          <w:tcPr>
            <w:tcW w:w="1747" w:type="dxa"/>
            <w:tcBorders>
              <w:top w:val="nil"/>
              <w:left w:val="nil"/>
              <w:bottom w:val="single" w:sz="8" w:space="0" w:color="auto"/>
              <w:right w:val="single" w:sz="8" w:space="0" w:color="auto"/>
            </w:tcBorders>
            <w:shd w:val="clear" w:color="auto" w:fill="auto"/>
            <w:noWrap/>
            <w:vAlign w:val="center"/>
            <w:hideMark/>
          </w:tcPr>
          <w:p w:rsidR="00CC1217" w:rsidRPr="00A07D1C" w:rsidRDefault="00CC1217" w:rsidP="00EF4A8B">
            <w:pPr>
              <w:spacing w:after="0"/>
              <w:jc w:val="center"/>
              <w:rPr>
                <w:b/>
                <w:bCs/>
                <w:color w:val="000000"/>
                <w:szCs w:val="22"/>
                <w:lang w:val="en-US"/>
              </w:rPr>
            </w:pPr>
            <w:r w:rsidRPr="00A07D1C">
              <w:rPr>
                <w:b/>
                <w:bCs/>
                <w:color w:val="000000"/>
                <w:szCs w:val="24"/>
                <w:lang w:val="en-US"/>
              </w:rPr>
              <w:t>Multi-panel gain</w:t>
            </w:r>
          </w:p>
        </w:tc>
        <w:tc>
          <w:tcPr>
            <w:tcW w:w="1116" w:type="dxa"/>
            <w:gridSpan w:val="2"/>
            <w:tcBorders>
              <w:top w:val="single" w:sz="4" w:space="0" w:color="auto"/>
              <w:left w:val="nil"/>
              <w:bottom w:val="single" w:sz="8" w:space="0" w:color="auto"/>
              <w:right w:val="single" w:sz="4" w:space="0" w:color="auto"/>
            </w:tcBorders>
          </w:tcPr>
          <w:p w:rsidR="00CC1217" w:rsidRDefault="00CC1217" w:rsidP="00EF4A8B">
            <w:pPr>
              <w:spacing w:after="0"/>
              <w:jc w:val="center"/>
              <w:rPr>
                <w:b/>
                <w:bCs/>
                <w:color w:val="000000"/>
                <w:szCs w:val="24"/>
                <w:lang w:val="en-US"/>
              </w:rPr>
            </w:pPr>
            <w:r>
              <w:rPr>
                <w:b/>
                <w:bCs/>
                <w:color w:val="000000"/>
                <w:szCs w:val="24"/>
                <w:lang w:val="en-US"/>
              </w:rPr>
              <w:t xml:space="preserve">TR </w:t>
            </w:r>
          </w:p>
          <w:p w:rsidR="00CC1217" w:rsidRPr="00A07D1C" w:rsidRDefault="00CC1217" w:rsidP="00EF4A8B">
            <w:pPr>
              <w:spacing w:after="0"/>
              <w:jc w:val="center"/>
              <w:rPr>
                <w:b/>
                <w:bCs/>
                <w:color w:val="000000"/>
                <w:szCs w:val="24"/>
                <w:lang w:val="en-US"/>
              </w:rPr>
            </w:pPr>
            <w:r>
              <w:rPr>
                <w:b/>
                <w:bCs/>
                <w:color w:val="000000"/>
                <w:szCs w:val="24"/>
                <w:lang w:val="en-US"/>
              </w:rPr>
              <w:t>reference</w:t>
            </w:r>
          </w:p>
        </w:tc>
        <w:tc>
          <w:tcPr>
            <w:tcW w:w="739"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CC1217" w:rsidRPr="00A07D1C" w:rsidRDefault="00CC1217" w:rsidP="00EF4A8B">
            <w:pPr>
              <w:spacing w:after="0"/>
              <w:jc w:val="center"/>
              <w:rPr>
                <w:b/>
                <w:bCs/>
                <w:color w:val="000000"/>
                <w:szCs w:val="22"/>
                <w:lang w:val="en-US"/>
              </w:rPr>
            </w:pPr>
            <w:r w:rsidRPr="00A07D1C">
              <w:rPr>
                <w:b/>
                <w:bCs/>
                <w:color w:val="000000"/>
                <w:szCs w:val="24"/>
                <w:lang w:val="en-US"/>
              </w:rPr>
              <w:t>CFG1</w:t>
            </w:r>
          </w:p>
        </w:tc>
        <w:tc>
          <w:tcPr>
            <w:tcW w:w="1647" w:type="dxa"/>
            <w:tcBorders>
              <w:top w:val="single" w:sz="4" w:space="0" w:color="auto"/>
              <w:left w:val="nil"/>
              <w:bottom w:val="single" w:sz="8" w:space="0" w:color="auto"/>
              <w:right w:val="single" w:sz="8" w:space="0" w:color="auto"/>
            </w:tcBorders>
            <w:shd w:val="clear" w:color="auto" w:fill="auto"/>
            <w:noWrap/>
            <w:vAlign w:val="center"/>
            <w:hideMark/>
          </w:tcPr>
          <w:p w:rsidR="00CC1217" w:rsidRPr="00A07D1C" w:rsidRDefault="00CC1217" w:rsidP="00EF4A8B">
            <w:pPr>
              <w:spacing w:after="0"/>
              <w:jc w:val="center"/>
              <w:rPr>
                <w:b/>
                <w:bCs/>
                <w:color w:val="000000"/>
                <w:szCs w:val="22"/>
                <w:lang w:val="en-US"/>
              </w:rPr>
            </w:pPr>
            <w:r w:rsidRPr="00A07D1C">
              <w:rPr>
                <w:b/>
                <w:bCs/>
                <w:color w:val="000000"/>
                <w:szCs w:val="24"/>
                <w:lang w:val="en-US"/>
              </w:rPr>
              <w:t>Multi-panel gain</w:t>
            </w:r>
          </w:p>
        </w:tc>
      </w:tr>
      <w:tr w:rsidR="00CC1217" w:rsidRPr="00273F70" w:rsidTr="00410190">
        <w:trPr>
          <w:gridAfter w:val="1"/>
          <w:wAfter w:w="14" w:type="dxa"/>
          <w:trHeight w:val="324"/>
          <w:jc w:val="center"/>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C1217" w:rsidRPr="00A07D1C" w:rsidRDefault="00CC1217" w:rsidP="00CB0F6F">
            <w:pPr>
              <w:spacing w:after="0"/>
              <w:jc w:val="center"/>
              <w:rPr>
                <w:b/>
                <w:bCs/>
                <w:color w:val="000000"/>
                <w:szCs w:val="22"/>
                <w:lang w:val="en-US"/>
              </w:rPr>
            </w:pPr>
            <w:r w:rsidRPr="00A07D1C">
              <w:rPr>
                <w:b/>
                <w:bCs/>
                <w:color w:val="000000"/>
                <w:szCs w:val="22"/>
                <w:lang w:val="en-US"/>
              </w:rPr>
              <w:t>200MHz</w:t>
            </w:r>
          </w:p>
        </w:tc>
        <w:tc>
          <w:tcPr>
            <w:tcW w:w="1511" w:type="dxa"/>
            <w:tcBorders>
              <w:top w:val="single" w:sz="8" w:space="0" w:color="auto"/>
              <w:left w:val="nil"/>
              <w:bottom w:val="single" w:sz="8" w:space="0" w:color="auto"/>
              <w:right w:val="single" w:sz="8" w:space="0" w:color="auto"/>
            </w:tcBorders>
            <w:shd w:val="clear" w:color="auto" w:fill="auto"/>
            <w:noWrap/>
            <w:vAlign w:val="bottom"/>
            <w:hideMark/>
          </w:tcPr>
          <w:p w:rsidR="00CC1217" w:rsidRPr="00A07D1C" w:rsidRDefault="00CC1217" w:rsidP="00CB0F6F">
            <w:pPr>
              <w:spacing w:after="0"/>
              <w:jc w:val="center"/>
              <w:rPr>
                <w:b/>
                <w:bCs/>
                <w:color w:val="000000"/>
                <w:szCs w:val="22"/>
                <w:lang w:val="en-US"/>
              </w:rPr>
            </w:pPr>
            <w:r w:rsidRPr="00A07D1C">
              <w:rPr>
                <w:b/>
                <w:bCs/>
                <w:color w:val="000000"/>
                <w:szCs w:val="22"/>
                <w:lang w:val="en-US"/>
              </w:rPr>
              <w:t>DL - ISD 200m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414F5E">
              <w:t>5.64</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414F5E">
              <w:t>5.38</w:t>
            </w:r>
          </w:p>
        </w:tc>
        <w:tc>
          <w:tcPr>
            <w:tcW w:w="1747" w:type="dxa"/>
            <w:tcBorders>
              <w:top w:val="nil"/>
              <w:left w:val="nil"/>
              <w:bottom w:val="single" w:sz="8" w:space="0" w:color="auto"/>
              <w:right w:val="single" w:sz="8" w:space="0" w:color="auto"/>
            </w:tcBorders>
            <w:shd w:val="clear" w:color="auto" w:fill="auto"/>
            <w:noWrap/>
            <w:vAlign w:val="center"/>
          </w:tcPr>
          <w:p w:rsidR="00CC1217" w:rsidRPr="00A07D1C" w:rsidRDefault="002E6268" w:rsidP="00C21129">
            <w:pPr>
              <w:spacing w:after="0"/>
              <w:jc w:val="center"/>
              <w:rPr>
                <w:color w:val="000000"/>
                <w:szCs w:val="24"/>
                <w:lang w:val="en-US"/>
              </w:rPr>
            </w:pPr>
            <w:r>
              <w:t>4.7</w:t>
            </w:r>
            <w:r w:rsidR="00CC1217" w:rsidRPr="00414F5E">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A57864">
              <w:t>3.84</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A57864">
              <w:t>3.19</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F90F07" w:rsidP="00C21129">
            <w:pPr>
              <w:spacing w:after="0"/>
              <w:jc w:val="center"/>
              <w:rPr>
                <w:color w:val="000000"/>
                <w:szCs w:val="24"/>
                <w:lang w:val="en-US"/>
              </w:rPr>
            </w:pPr>
            <w:r>
              <w:t>17</w:t>
            </w:r>
            <w:r w:rsidR="00CC1217" w:rsidRPr="00A57864">
              <w:t>%</w:t>
            </w:r>
          </w:p>
        </w:tc>
      </w:tr>
      <w:tr w:rsidR="00CC1217" w:rsidRPr="00273F70" w:rsidTr="00410190">
        <w:trPr>
          <w:gridAfter w:val="1"/>
          <w:wAfter w:w="14" w:type="dxa"/>
          <w:trHeight w:val="324"/>
          <w:jc w:val="center"/>
        </w:trPr>
        <w:tc>
          <w:tcPr>
            <w:tcW w:w="951" w:type="dxa"/>
            <w:vMerge/>
            <w:tcBorders>
              <w:top w:val="single" w:sz="8" w:space="0" w:color="auto"/>
              <w:left w:val="single" w:sz="8" w:space="0" w:color="auto"/>
              <w:bottom w:val="single" w:sz="8" w:space="0" w:color="000000"/>
              <w:right w:val="single" w:sz="8" w:space="0" w:color="auto"/>
            </w:tcBorders>
            <w:vAlign w:val="center"/>
            <w:hideMark/>
          </w:tcPr>
          <w:p w:rsidR="00CC1217" w:rsidRPr="00A07D1C" w:rsidRDefault="00CC1217" w:rsidP="00CB0F6F">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CB0F6F">
            <w:pPr>
              <w:spacing w:after="0"/>
              <w:jc w:val="center"/>
              <w:rPr>
                <w:b/>
                <w:bCs/>
                <w:color w:val="000000"/>
                <w:szCs w:val="22"/>
                <w:lang w:val="en-US"/>
              </w:rPr>
            </w:pPr>
            <w:r w:rsidRPr="00A07D1C">
              <w:rPr>
                <w:b/>
                <w:bCs/>
                <w:color w:val="000000"/>
                <w:szCs w:val="22"/>
                <w:lang w:val="en-US"/>
              </w:rPr>
              <w:t>DL - ISD 400m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414F5E">
              <w:t>4.85</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414F5E">
              <w:t>4.37</w:t>
            </w:r>
          </w:p>
        </w:tc>
        <w:tc>
          <w:tcPr>
            <w:tcW w:w="1747" w:type="dxa"/>
            <w:tcBorders>
              <w:top w:val="nil"/>
              <w:left w:val="single" w:sz="8" w:space="0" w:color="auto"/>
              <w:bottom w:val="single" w:sz="8" w:space="0" w:color="auto"/>
              <w:right w:val="single" w:sz="8"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414F5E">
              <w:t>1</w:t>
            </w:r>
            <w:r w:rsidR="00F90F07">
              <w:t>0</w:t>
            </w:r>
            <w:r w:rsidRPr="00414F5E">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A57864">
              <w:t>2.13</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A57864">
              <w:t>1.49</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F90F07" w:rsidP="00C21129">
            <w:pPr>
              <w:spacing w:after="0"/>
              <w:jc w:val="center"/>
              <w:rPr>
                <w:color w:val="000000"/>
                <w:szCs w:val="24"/>
                <w:lang w:val="en-US"/>
              </w:rPr>
            </w:pPr>
            <w:r>
              <w:t>30.1</w:t>
            </w:r>
            <w:r w:rsidR="00CC1217" w:rsidRPr="00A57864">
              <w:t>%</w:t>
            </w:r>
          </w:p>
        </w:tc>
      </w:tr>
      <w:tr w:rsidR="00CC1217" w:rsidRPr="00273F70" w:rsidTr="00410190">
        <w:trPr>
          <w:gridAfter w:val="1"/>
          <w:wAfter w:w="14" w:type="dxa"/>
          <w:trHeight w:val="324"/>
          <w:jc w:val="center"/>
        </w:trPr>
        <w:tc>
          <w:tcPr>
            <w:tcW w:w="951" w:type="dxa"/>
            <w:vMerge/>
            <w:tcBorders>
              <w:top w:val="single" w:sz="8" w:space="0" w:color="auto"/>
              <w:left w:val="single" w:sz="8" w:space="0" w:color="auto"/>
              <w:bottom w:val="single" w:sz="8" w:space="0" w:color="000000"/>
              <w:right w:val="single" w:sz="8" w:space="0" w:color="auto"/>
            </w:tcBorders>
            <w:vAlign w:val="center"/>
            <w:hideMark/>
          </w:tcPr>
          <w:p w:rsidR="00CC1217" w:rsidRPr="00A07D1C" w:rsidRDefault="00CC1217" w:rsidP="00CB0F6F">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CB0F6F">
            <w:pPr>
              <w:spacing w:after="0"/>
              <w:jc w:val="center"/>
              <w:rPr>
                <w:b/>
                <w:bCs/>
                <w:color w:val="000000"/>
                <w:szCs w:val="22"/>
                <w:lang w:val="en-US"/>
              </w:rPr>
            </w:pPr>
            <w:r w:rsidRPr="00A07D1C">
              <w:rPr>
                <w:b/>
                <w:bCs/>
                <w:color w:val="000000"/>
                <w:szCs w:val="22"/>
                <w:lang w:val="en-US"/>
              </w:rPr>
              <w:t>UL - ISD 200m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Pr>
                <w:color w:val="000000"/>
              </w:rPr>
              <w:t>2.32</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Pr>
                <w:color w:val="000000"/>
              </w:rPr>
              <w:t>1.89</w:t>
            </w:r>
          </w:p>
        </w:tc>
        <w:tc>
          <w:tcPr>
            <w:tcW w:w="1747" w:type="dxa"/>
            <w:tcBorders>
              <w:top w:val="nil"/>
              <w:left w:val="nil"/>
              <w:bottom w:val="single" w:sz="8" w:space="0" w:color="auto"/>
              <w:right w:val="single" w:sz="8" w:space="0" w:color="auto"/>
            </w:tcBorders>
            <w:shd w:val="clear" w:color="auto" w:fill="auto"/>
            <w:noWrap/>
            <w:vAlign w:val="center"/>
          </w:tcPr>
          <w:p w:rsidR="00CC1217" w:rsidRPr="00A07D1C" w:rsidRDefault="001805FB" w:rsidP="00C21129">
            <w:pPr>
              <w:spacing w:after="0"/>
              <w:jc w:val="center"/>
              <w:rPr>
                <w:color w:val="000000"/>
                <w:szCs w:val="24"/>
                <w:lang w:val="en-US"/>
              </w:rPr>
            </w:pPr>
            <w:r>
              <w:rPr>
                <w:color w:val="000000"/>
              </w:rPr>
              <w:t>18.7</w:t>
            </w:r>
            <w:r w:rsidR="00CC1217">
              <w:rPr>
                <w:color w:val="000000"/>
              </w:rPr>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Pr>
                <w:color w:val="000000"/>
              </w:rPr>
              <w:t>0.74</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Pr>
                <w:color w:val="000000"/>
              </w:rPr>
              <w:t>0.32</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1805FB" w:rsidP="00C21129">
            <w:pPr>
              <w:spacing w:after="0"/>
              <w:jc w:val="center"/>
              <w:rPr>
                <w:color w:val="000000"/>
                <w:szCs w:val="24"/>
                <w:lang w:val="en-US"/>
              </w:rPr>
            </w:pPr>
            <w:r>
              <w:rPr>
                <w:color w:val="000000"/>
              </w:rPr>
              <w:t>56.7</w:t>
            </w:r>
            <w:r w:rsidR="00CC1217">
              <w:rPr>
                <w:color w:val="000000"/>
              </w:rPr>
              <w:t>%</w:t>
            </w:r>
          </w:p>
        </w:tc>
      </w:tr>
      <w:tr w:rsidR="00CC1217" w:rsidRPr="00273F70" w:rsidTr="00410190">
        <w:trPr>
          <w:gridAfter w:val="1"/>
          <w:wAfter w:w="14" w:type="dxa"/>
          <w:trHeight w:val="324"/>
          <w:jc w:val="center"/>
        </w:trPr>
        <w:tc>
          <w:tcPr>
            <w:tcW w:w="951" w:type="dxa"/>
            <w:vMerge/>
            <w:tcBorders>
              <w:top w:val="single" w:sz="8" w:space="0" w:color="auto"/>
              <w:left w:val="single" w:sz="8" w:space="0" w:color="auto"/>
              <w:bottom w:val="single" w:sz="8" w:space="0" w:color="000000"/>
              <w:right w:val="single" w:sz="8" w:space="0" w:color="auto"/>
            </w:tcBorders>
            <w:vAlign w:val="center"/>
            <w:hideMark/>
          </w:tcPr>
          <w:p w:rsidR="00CC1217" w:rsidRPr="00A07D1C" w:rsidRDefault="00CC1217" w:rsidP="000B487E">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0B487E">
            <w:pPr>
              <w:spacing w:after="0"/>
              <w:jc w:val="center"/>
              <w:rPr>
                <w:b/>
                <w:bCs/>
                <w:color w:val="000000"/>
                <w:szCs w:val="22"/>
                <w:lang w:val="en-US"/>
              </w:rPr>
            </w:pPr>
            <w:r w:rsidRPr="00A07D1C">
              <w:rPr>
                <w:b/>
                <w:bCs/>
                <w:color w:val="000000"/>
                <w:szCs w:val="22"/>
                <w:lang w:val="en-US"/>
              </w:rPr>
              <w:t>UL -ISD 400m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Pr>
                <w:color w:val="000000"/>
              </w:rPr>
              <w:t>1.38</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Pr>
                <w:color w:val="000000"/>
              </w:rPr>
              <w:t>1.10</w:t>
            </w:r>
          </w:p>
        </w:tc>
        <w:tc>
          <w:tcPr>
            <w:tcW w:w="1747" w:type="dxa"/>
            <w:tcBorders>
              <w:top w:val="nil"/>
              <w:left w:val="single" w:sz="8" w:space="0" w:color="auto"/>
              <w:bottom w:val="single" w:sz="8" w:space="0" w:color="auto"/>
              <w:right w:val="single" w:sz="8" w:space="0" w:color="auto"/>
            </w:tcBorders>
            <w:shd w:val="clear" w:color="auto" w:fill="auto"/>
            <w:noWrap/>
            <w:vAlign w:val="center"/>
          </w:tcPr>
          <w:p w:rsidR="00CC1217" w:rsidRPr="00A07D1C" w:rsidRDefault="00CC1217" w:rsidP="00C21129">
            <w:pPr>
              <w:spacing w:after="0"/>
              <w:jc w:val="center"/>
              <w:rPr>
                <w:color w:val="000000"/>
                <w:szCs w:val="24"/>
                <w:lang w:val="en-US"/>
              </w:rPr>
            </w:pPr>
            <w:r>
              <w:rPr>
                <w:color w:val="000000"/>
              </w:rPr>
              <w:t>2</w:t>
            </w:r>
            <w:r w:rsidR="001805FB">
              <w:rPr>
                <w:color w:val="000000"/>
              </w:rPr>
              <w:t>0.5</w:t>
            </w:r>
            <w:r>
              <w:rPr>
                <w:color w:val="000000"/>
              </w:rPr>
              <w:t>%</w:t>
            </w:r>
          </w:p>
        </w:tc>
        <w:tc>
          <w:tcPr>
            <w:tcW w:w="1116" w:type="dxa"/>
            <w:gridSpan w:val="2"/>
            <w:tcBorders>
              <w:top w:val="single" w:sz="8" w:space="0" w:color="auto"/>
              <w:left w:val="nil"/>
              <w:bottom w:val="single" w:sz="8" w:space="0" w:color="auto"/>
              <w:right w:val="single" w:sz="4" w:space="0" w:color="auto"/>
            </w:tcBorders>
            <w:vAlign w:val="center"/>
          </w:tcPr>
          <w:p w:rsidR="00CC1217" w:rsidDel="000A210F" w:rsidRDefault="00CC1217" w:rsidP="00C21129">
            <w:pPr>
              <w:spacing w:after="0"/>
              <w:jc w:val="center"/>
              <w:rPr>
                <w:color w:val="000000"/>
                <w:szCs w:val="24"/>
                <w:lang w:val="en-US"/>
              </w:rPr>
            </w:pPr>
            <w:r>
              <w:rPr>
                <w:color w:val="000000"/>
              </w:rPr>
              <w:t>N.A.</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3816A9">
              <w:rPr>
                <w:color w:val="000000"/>
              </w:rPr>
              <w:t>N.A.</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3816A9">
              <w:rPr>
                <w:color w:val="000000"/>
              </w:rPr>
              <w:t>N.A.</w:t>
            </w:r>
          </w:p>
        </w:tc>
      </w:tr>
      <w:tr w:rsidR="00CC1217" w:rsidRPr="00273F70" w:rsidTr="00410190">
        <w:trPr>
          <w:gridAfter w:val="1"/>
          <w:wAfter w:w="14" w:type="dxa"/>
          <w:trHeight w:val="324"/>
          <w:jc w:val="center"/>
        </w:trPr>
        <w:tc>
          <w:tcPr>
            <w:tcW w:w="9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C1217" w:rsidRPr="00A07D1C" w:rsidRDefault="00CC1217" w:rsidP="00D9728F">
            <w:pPr>
              <w:spacing w:after="0"/>
              <w:jc w:val="center"/>
              <w:rPr>
                <w:b/>
                <w:bCs/>
                <w:color w:val="000000"/>
                <w:szCs w:val="22"/>
                <w:lang w:val="en-US"/>
              </w:rPr>
            </w:pPr>
            <w:r w:rsidRPr="00A07D1C">
              <w:rPr>
                <w:b/>
                <w:bCs/>
                <w:color w:val="000000"/>
                <w:szCs w:val="22"/>
                <w:lang w:val="en-US"/>
              </w:rPr>
              <w:t>20MHz</w:t>
            </w: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D9728F">
            <w:pPr>
              <w:spacing w:after="0"/>
              <w:jc w:val="center"/>
              <w:rPr>
                <w:b/>
                <w:bCs/>
                <w:color w:val="000000"/>
                <w:szCs w:val="22"/>
                <w:lang w:val="en-US"/>
              </w:rPr>
            </w:pPr>
            <w:r w:rsidRPr="00A07D1C">
              <w:rPr>
                <w:b/>
                <w:bCs/>
                <w:color w:val="000000"/>
                <w:szCs w:val="22"/>
                <w:lang w:val="en-US"/>
              </w:rPr>
              <w:t>DL - ISD 200m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A83984">
              <w:t>5.69</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A83984">
              <w:t>5.51</w:t>
            </w:r>
          </w:p>
        </w:tc>
        <w:tc>
          <w:tcPr>
            <w:tcW w:w="1747" w:type="dxa"/>
            <w:tcBorders>
              <w:top w:val="nil"/>
              <w:left w:val="nil"/>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3.2</w:t>
            </w:r>
            <w:r w:rsidR="00CC1217" w:rsidRPr="00A83984">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7A578A">
              <w:t>4.03</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7A578A">
              <w:t>3.36</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16.7</w:t>
            </w:r>
            <w:r w:rsidR="00CC1217" w:rsidRPr="007A578A">
              <w:t>%</w:t>
            </w:r>
          </w:p>
        </w:tc>
      </w:tr>
      <w:tr w:rsidR="00CC1217" w:rsidRPr="00273F70" w:rsidTr="00410190">
        <w:trPr>
          <w:gridAfter w:val="1"/>
          <w:wAfter w:w="14" w:type="dxa"/>
          <w:trHeight w:val="324"/>
          <w:jc w:val="center"/>
        </w:trPr>
        <w:tc>
          <w:tcPr>
            <w:tcW w:w="951" w:type="dxa"/>
            <w:vMerge/>
            <w:tcBorders>
              <w:top w:val="nil"/>
              <w:left w:val="single" w:sz="8" w:space="0" w:color="auto"/>
              <w:bottom w:val="single" w:sz="8" w:space="0" w:color="000000"/>
              <w:right w:val="single" w:sz="8" w:space="0" w:color="auto"/>
            </w:tcBorders>
            <w:vAlign w:val="center"/>
            <w:hideMark/>
          </w:tcPr>
          <w:p w:rsidR="00CC1217" w:rsidRPr="00A07D1C" w:rsidRDefault="00CC1217" w:rsidP="00D9728F">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D9728F">
            <w:pPr>
              <w:spacing w:after="0"/>
              <w:jc w:val="center"/>
              <w:rPr>
                <w:b/>
                <w:bCs/>
                <w:color w:val="000000"/>
                <w:szCs w:val="22"/>
                <w:lang w:val="en-US"/>
              </w:rPr>
            </w:pPr>
            <w:r w:rsidRPr="00A07D1C">
              <w:rPr>
                <w:b/>
                <w:bCs/>
                <w:color w:val="000000"/>
                <w:szCs w:val="22"/>
                <w:lang w:val="en-US"/>
              </w:rPr>
              <w:t>DL - ISD 400m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A83984">
              <w:t>5.41</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A83984">
              <w:t>5.10</w:t>
            </w:r>
          </w:p>
        </w:tc>
        <w:tc>
          <w:tcPr>
            <w:tcW w:w="1747" w:type="dxa"/>
            <w:tcBorders>
              <w:top w:val="nil"/>
              <w:left w:val="single" w:sz="8" w:space="0" w:color="auto"/>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5.7</w:t>
            </w:r>
            <w:r w:rsidR="00CC1217" w:rsidRPr="00A83984">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7A578A">
              <w:t>3.32</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7A578A">
              <w:t>2.70</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18.7</w:t>
            </w:r>
            <w:r w:rsidR="00CC1217" w:rsidRPr="007A578A">
              <w:t>%</w:t>
            </w:r>
          </w:p>
        </w:tc>
      </w:tr>
      <w:tr w:rsidR="00CC1217" w:rsidRPr="00273F70" w:rsidTr="00410190">
        <w:trPr>
          <w:gridAfter w:val="1"/>
          <w:wAfter w:w="14" w:type="dxa"/>
          <w:trHeight w:val="324"/>
          <w:jc w:val="center"/>
        </w:trPr>
        <w:tc>
          <w:tcPr>
            <w:tcW w:w="951" w:type="dxa"/>
            <w:vMerge/>
            <w:tcBorders>
              <w:top w:val="nil"/>
              <w:left w:val="single" w:sz="8" w:space="0" w:color="auto"/>
              <w:bottom w:val="single" w:sz="8" w:space="0" w:color="000000"/>
              <w:right w:val="single" w:sz="8" w:space="0" w:color="auto"/>
            </w:tcBorders>
            <w:vAlign w:val="center"/>
            <w:hideMark/>
          </w:tcPr>
          <w:p w:rsidR="00CC1217" w:rsidRPr="00A07D1C" w:rsidRDefault="00CC1217" w:rsidP="004414CD">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4414CD">
            <w:pPr>
              <w:spacing w:after="0"/>
              <w:jc w:val="center"/>
              <w:rPr>
                <w:b/>
                <w:bCs/>
                <w:color w:val="000000"/>
                <w:szCs w:val="22"/>
                <w:lang w:val="en-US"/>
              </w:rPr>
            </w:pPr>
            <w:r w:rsidRPr="00A07D1C">
              <w:rPr>
                <w:b/>
                <w:bCs/>
                <w:color w:val="000000"/>
                <w:szCs w:val="22"/>
                <w:lang w:val="en-US"/>
              </w:rPr>
              <w:t>UL - ISD 200m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C200B7">
              <w:t>2.69</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C200B7">
              <w:t>2.49</w:t>
            </w:r>
          </w:p>
        </w:tc>
        <w:tc>
          <w:tcPr>
            <w:tcW w:w="1747" w:type="dxa"/>
            <w:tcBorders>
              <w:top w:val="nil"/>
              <w:left w:val="nil"/>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7.4</w:t>
            </w:r>
            <w:r w:rsidR="00CC1217" w:rsidRPr="00C200B7">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EF4168">
              <w:t>1.72</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EF4168">
              <w:t>1.07</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37.8</w:t>
            </w:r>
            <w:r w:rsidR="00CC1217" w:rsidRPr="00EF4168">
              <w:t>%</w:t>
            </w:r>
          </w:p>
        </w:tc>
      </w:tr>
      <w:tr w:rsidR="00CC1217" w:rsidRPr="00273F70" w:rsidTr="00410190">
        <w:trPr>
          <w:gridAfter w:val="1"/>
          <w:wAfter w:w="14" w:type="dxa"/>
          <w:trHeight w:val="324"/>
          <w:jc w:val="center"/>
        </w:trPr>
        <w:tc>
          <w:tcPr>
            <w:tcW w:w="951" w:type="dxa"/>
            <w:vMerge/>
            <w:tcBorders>
              <w:top w:val="nil"/>
              <w:left w:val="single" w:sz="8" w:space="0" w:color="auto"/>
              <w:bottom w:val="single" w:sz="8" w:space="0" w:color="000000"/>
              <w:right w:val="single" w:sz="8" w:space="0" w:color="auto"/>
            </w:tcBorders>
            <w:vAlign w:val="center"/>
            <w:hideMark/>
          </w:tcPr>
          <w:p w:rsidR="00CC1217" w:rsidRPr="00A07D1C" w:rsidRDefault="00CC1217" w:rsidP="004414CD">
            <w:pPr>
              <w:spacing w:after="0"/>
              <w:rPr>
                <w:b/>
                <w:bCs/>
                <w:color w:val="000000"/>
                <w:szCs w:val="22"/>
                <w:lang w:val="en-US"/>
              </w:rPr>
            </w:pPr>
          </w:p>
        </w:tc>
        <w:tc>
          <w:tcPr>
            <w:tcW w:w="1511" w:type="dxa"/>
            <w:tcBorders>
              <w:top w:val="nil"/>
              <w:left w:val="nil"/>
              <w:bottom w:val="single" w:sz="8" w:space="0" w:color="auto"/>
              <w:right w:val="single" w:sz="8" w:space="0" w:color="auto"/>
            </w:tcBorders>
            <w:shd w:val="clear" w:color="auto" w:fill="auto"/>
            <w:noWrap/>
            <w:vAlign w:val="bottom"/>
            <w:hideMark/>
          </w:tcPr>
          <w:p w:rsidR="00CC1217" w:rsidRPr="00A07D1C" w:rsidRDefault="00CC1217" w:rsidP="004414CD">
            <w:pPr>
              <w:spacing w:after="0"/>
              <w:jc w:val="center"/>
              <w:rPr>
                <w:b/>
                <w:bCs/>
                <w:color w:val="000000"/>
                <w:szCs w:val="22"/>
                <w:lang w:val="en-US"/>
              </w:rPr>
            </w:pPr>
            <w:r w:rsidRPr="00A07D1C">
              <w:rPr>
                <w:b/>
                <w:bCs/>
                <w:color w:val="000000"/>
                <w:szCs w:val="22"/>
                <w:lang w:val="en-US"/>
              </w:rPr>
              <w:t>UL -ISD 400m</w:t>
            </w:r>
          </w:p>
        </w:tc>
        <w:tc>
          <w:tcPr>
            <w:tcW w:w="1116" w:type="dxa"/>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C200B7">
              <w:t>1.96</w:t>
            </w:r>
          </w:p>
        </w:tc>
        <w:tc>
          <w:tcPr>
            <w:tcW w:w="8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C200B7">
              <w:t>1.66</w:t>
            </w:r>
          </w:p>
        </w:tc>
        <w:tc>
          <w:tcPr>
            <w:tcW w:w="1747" w:type="dxa"/>
            <w:tcBorders>
              <w:top w:val="nil"/>
              <w:left w:val="single" w:sz="8" w:space="0" w:color="auto"/>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15.3</w:t>
            </w:r>
            <w:r w:rsidR="00CC1217" w:rsidRPr="00C200B7">
              <w:t>%</w:t>
            </w:r>
          </w:p>
        </w:tc>
        <w:tc>
          <w:tcPr>
            <w:tcW w:w="1116" w:type="dxa"/>
            <w:gridSpan w:val="2"/>
            <w:tcBorders>
              <w:top w:val="single" w:sz="8" w:space="0" w:color="auto"/>
              <w:left w:val="nil"/>
              <w:bottom w:val="single" w:sz="8" w:space="0" w:color="auto"/>
              <w:right w:val="single" w:sz="4" w:space="0" w:color="auto"/>
            </w:tcBorders>
            <w:vAlign w:val="center"/>
          </w:tcPr>
          <w:p w:rsidR="00CC1217" w:rsidRPr="00A07D1C" w:rsidDel="000A210F" w:rsidRDefault="00CC1217" w:rsidP="00C21129">
            <w:pPr>
              <w:spacing w:after="0"/>
              <w:jc w:val="center"/>
              <w:rPr>
                <w:color w:val="000000"/>
                <w:szCs w:val="24"/>
                <w:lang w:val="en-US"/>
              </w:rPr>
            </w:pPr>
            <w:r w:rsidRPr="00EF4168">
              <w:t>0.26</w:t>
            </w:r>
          </w:p>
        </w:tc>
        <w:tc>
          <w:tcPr>
            <w:tcW w:w="739" w:type="dxa"/>
            <w:tcBorders>
              <w:top w:val="nil"/>
              <w:left w:val="single" w:sz="4" w:space="0" w:color="auto"/>
              <w:bottom w:val="single" w:sz="8" w:space="0" w:color="auto"/>
              <w:right w:val="single" w:sz="4" w:space="0" w:color="auto"/>
            </w:tcBorders>
            <w:shd w:val="clear" w:color="auto" w:fill="auto"/>
            <w:noWrap/>
            <w:vAlign w:val="center"/>
          </w:tcPr>
          <w:p w:rsidR="00CC1217" w:rsidRPr="00A07D1C" w:rsidRDefault="00CC1217" w:rsidP="00C21129">
            <w:pPr>
              <w:spacing w:after="0"/>
              <w:jc w:val="center"/>
              <w:rPr>
                <w:color w:val="000000"/>
                <w:szCs w:val="24"/>
                <w:lang w:val="en-US"/>
              </w:rPr>
            </w:pPr>
            <w:r w:rsidRPr="00EF4168">
              <w:t>0.15</w:t>
            </w:r>
          </w:p>
        </w:tc>
        <w:tc>
          <w:tcPr>
            <w:tcW w:w="1647" w:type="dxa"/>
            <w:tcBorders>
              <w:top w:val="nil"/>
              <w:left w:val="nil"/>
              <w:bottom w:val="single" w:sz="8" w:space="0" w:color="auto"/>
              <w:right w:val="single" w:sz="8" w:space="0" w:color="auto"/>
            </w:tcBorders>
            <w:shd w:val="clear" w:color="auto" w:fill="auto"/>
            <w:noWrap/>
            <w:vAlign w:val="center"/>
          </w:tcPr>
          <w:p w:rsidR="00CC1217" w:rsidRPr="00A07D1C" w:rsidRDefault="00AE2697" w:rsidP="00C21129">
            <w:pPr>
              <w:spacing w:after="0"/>
              <w:jc w:val="center"/>
              <w:rPr>
                <w:color w:val="000000"/>
                <w:szCs w:val="24"/>
                <w:lang w:val="en-US"/>
              </w:rPr>
            </w:pPr>
            <w:r>
              <w:t>42.5</w:t>
            </w:r>
            <w:r w:rsidR="00CC1217" w:rsidRPr="00EF4168">
              <w:t>%</w:t>
            </w:r>
          </w:p>
        </w:tc>
      </w:tr>
    </w:tbl>
    <w:p w:rsidR="00EF4A8B" w:rsidRDefault="00EF4A8B" w:rsidP="001F2E0B">
      <w:pPr>
        <w:jc w:val="both"/>
        <w:rPr>
          <w:lang w:val="en-US"/>
        </w:rPr>
      </w:pPr>
    </w:p>
    <w:p w:rsidR="00EF4A8B" w:rsidRDefault="000D6455" w:rsidP="001F2E0B">
      <w:pPr>
        <w:jc w:val="both"/>
        <w:rPr>
          <w:lang w:val="en-US"/>
        </w:rPr>
      </w:pPr>
      <w:r>
        <w:rPr>
          <w:lang w:val="en-US"/>
        </w:rPr>
        <w:t>Another important observation is related to the outage affecting the ISD=</w:t>
      </w:r>
      <w:r w:rsidR="007E7C9C">
        <w:rPr>
          <w:lang w:val="en-US"/>
        </w:rPr>
        <w:t>400m</w:t>
      </w:r>
      <w:r w:rsidR="00A158A4">
        <w:rPr>
          <w:lang w:val="en-US"/>
        </w:rPr>
        <w:t xml:space="preserve"> in UL</w:t>
      </w:r>
      <w:r>
        <w:rPr>
          <w:lang w:val="en-US"/>
        </w:rPr>
        <w:t>. We observed that the number of UE</w:t>
      </w:r>
      <w:r w:rsidR="003054E0">
        <w:rPr>
          <w:lang w:val="en-US"/>
        </w:rPr>
        <w:t>s</w:t>
      </w:r>
      <w:r>
        <w:rPr>
          <w:lang w:val="en-US"/>
        </w:rPr>
        <w:t xml:space="preserve"> in outage is about double if C</w:t>
      </w:r>
      <w:r w:rsidR="007E7C9C">
        <w:rPr>
          <w:lang w:val="en-US"/>
        </w:rPr>
        <w:t>F</w:t>
      </w:r>
      <w:r>
        <w:rPr>
          <w:lang w:val="en-US"/>
        </w:rPr>
        <w:t>G1 is selected. This observation holds for both 20MHz and 200MHz cases.</w:t>
      </w:r>
    </w:p>
    <w:p w:rsidR="00796C7A" w:rsidRDefault="00796C7A" w:rsidP="001F2E0B">
      <w:pPr>
        <w:jc w:val="both"/>
        <w:rPr>
          <w:lang w:val="en-US"/>
        </w:rPr>
      </w:pPr>
    </w:p>
    <w:p w:rsidR="00796C7A" w:rsidRDefault="00796C7A" w:rsidP="00796C7A">
      <w:pPr>
        <w:pStyle w:val="Heading2"/>
        <w:rPr>
          <w:lang w:val="en-US"/>
        </w:rPr>
      </w:pPr>
      <w:bookmarkStart w:id="23" w:name="_Ref511381613"/>
      <w:r>
        <w:rPr>
          <w:lang w:val="en-US"/>
        </w:rPr>
        <w:t>Sensitivity to EIRP CDF</w:t>
      </w:r>
      <w:bookmarkEnd w:id="23"/>
      <w:r w:rsidR="00DA6CC3">
        <w:rPr>
          <w:lang w:val="en-US"/>
        </w:rPr>
        <w:t xml:space="preserve"> percentiles</w:t>
      </w:r>
      <w:r w:rsidR="00006A82">
        <w:rPr>
          <w:lang w:val="en-US"/>
        </w:rPr>
        <w:t xml:space="preserve"> points</w:t>
      </w:r>
    </w:p>
    <w:p w:rsidR="00796C7A" w:rsidRDefault="00796C7A" w:rsidP="00160ED5">
      <w:pPr>
        <w:jc w:val="both"/>
        <w:rPr>
          <w:lang w:val="en-US"/>
        </w:rPr>
      </w:pPr>
      <w:r>
        <w:rPr>
          <w:lang w:val="en-US"/>
        </w:rPr>
        <w:t xml:space="preserve">In this section we </w:t>
      </w:r>
      <w:r w:rsidR="00DA6CC3">
        <w:rPr>
          <w:lang w:val="en-US"/>
        </w:rPr>
        <w:t>will</w:t>
      </w:r>
      <w:r>
        <w:rPr>
          <w:lang w:val="en-US"/>
        </w:rPr>
        <w:t xml:space="preserve"> analyze the sensitivity of network performance to EIRP CDF</w:t>
      </w:r>
      <w:r w:rsidR="00DA6CC3">
        <w:rPr>
          <w:lang w:val="en-US"/>
        </w:rPr>
        <w:t xml:space="preserve"> percentile points</w:t>
      </w:r>
      <w:r>
        <w:rPr>
          <w:lang w:val="en-US"/>
        </w:rPr>
        <w:t xml:space="preserve"> variation. </w:t>
      </w:r>
      <w:r w:rsidR="003F2658">
        <w:rPr>
          <w:lang w:val="en-US"/>
        </w:rPr>
        <w:t xml:space="preserve">Following the approach in </w:t>
      </w:r>
      <w:r w:rsidR="003F2658">
        <w:rPr>
          <w:lang w:val="en-US"/>
        </w:rPr>
        <w:fldChar w:fldCharType="begin"/>
      </w:r>
      <w:r w:rsidR="003F2658">
        <w:rPr>
          <w:lang w:val="en-US"/>
        </w:rPr>
        <w:instrText xml:space="preserve"> REF _Ref511317251 \n \h </w:instrText>
      </w:r>
      <w:r w:rsidR="00DA6CC3">
        <w:rPr>
          <w:lang w:val="en-US"/>
        </w:rPr>
        <w:instrText xml:space="preserve"> \* MERGEFORMAT </w:instrText>
      </w:r>
      <w:r w:rsidR="003F2658">
        <w:rPr>
          <w:lang w:val="en-US"/>
        </w:rPr>
      </w:r>
      <w:r w:rsidR="003F2658">
        <w:rPr>
          <w:lang w:val="en-US"/>
        </w:rPr>
        <w:fldChar w:fldCharType="separate"/>
      </w:r>
      <w:r w:rsidR="003F2658">
        <w:rPr>
          <w:lang w:val="en-US"/>
        </w:rPr>
        <w:t>[8]</w:t>
      </w:r>
      <w:r w:rsidR="003F2658">
        <w:rPr>
          <w:lang w:val="en-US"/>
        </w:rPr>
        <w:fldChar w:fldCharType="end"/>
      </w:r>
      <w:r w:rsidR="003F2658">
        <w:rPr>
          <w:lang w:val="en-US"/>
        </w:rPr>
        <w:t>, the</w:t>
      </w:r>
      <w:r w:rsidR="00F463D2">
        <w:rPr>
          <w:lang w:val="en-US"/>
        </w:rPr>
        <w:t xml:space="preserve"> antenna gains are reduced by 0 to 8 dB when the gains percentile </w:t>
      </w:r>
      <w:r w:rsidR="001727BF">
        <w:rPr>
          <w:lang w:val="en-US"/>
        </w:rPr>
        <w:t xml:space="preserve">are </w:t>
      </w:r>
      <w:r w:rsidR="00F463D2">
        <w:rPr>
          <w:lang w:val="en-US"/>
        </w:rPr>
        <w:t>lower than either 50% or 20%</w:t>
      </w:r>
      <w:r w:rsidR="001727BF">
        <w:rPr>
          <w:lang w:val="en-US"/>
        </w:rPr>
        <w:t>. The goal is</w:t>
      </w:r>
      <w:r w:rsidR="00F463D2">
        <w:rPr>
          <w:lang w:val="en-US"/>
        </w:rPr>
        <w:t xml:space="preserve"> to understand the sensitivity </w:t>
      </w:r>
      <w:r w:rsidR="001727BF">
        <w:rPr>
          <w:lang w:val="en-US"/>
        </w:rPr>
        <w:t xml:space="preserve">of throughput performance </w:t>
      </w:r>
      <w:r w:rsidR="00F463D2">
        <w:rPr>
          <w:lang w:val="en-US"/>
        </w:rPr>
        <w:t>to the 50%-tile and 20%-tile value</w:t>
      </w:r>
      <w:r w:rsidR="001727BF">
        <w:rPr>
          <w:lang w:val="en-US"/>
        </w:rPr>
        <w:t>s</w:t>
      </w:r>
      <w:r w:rsidR="00F463D2">
        <w:rPr>
          <w:lang w:val="en-US"/>
        </w:rPr>
        <w:t>, respectively.</w:t>
      </w:r>
      <w:r w:rsidR="003F2658">
        <w:rPr>
          <w:lang w:val="en-US"/>
        </w:rPr>
        <w:t xml:space="preserve"> </w:t>
      </w:r>
      <w:r w:rsidR="001727BF">
        <w:rPr>
          <w:lang w:val="en-US"/>
        </w:rPr>
        <w:t>To generate t</w:t>
      </w:r>
      <w:r w:rsidR="00F463D2">
        <w:rPr>
          <w:lang w:val="en-US"/>
        </w:rPr>
        <w:t>h</w:t>
      </w:r>
      <w:r w:rsidR="001727BF">
        <w:rPr>
          <w:lang w:val="en-US"/>
        </w:rPr>
        <w:t>e</w:t>
      </w:r>
      <w:r w:rsidR="00F463D2">
        <w:rPr>
          <w:lang w:val="en-US"/>
        </w:rPr>
        <w:t>s</w:t>
      </w:r>
      <w:r w:rsidR="001727BF">
        <w:rPr>
          <w:lang w:val="en-US"/>
        </w:rPr>
        <w:t>e</w:t>
      </w:r>
      <w:r w:rsidR="00F463D2">
        <w:rPr>
          <w:lang w:val="en-US"/>
        </w:rPr>
        <w:t xml:space="preserve"> results </w:t>
      </w:r>
      <w:r w:rsidR="001727BF">
        <w:rPr>
          <w:lang w:val="en-US"/>
        </w:rPr>
        <w:t>a</w:t>
      </w:r>
      <w:r w:rsidR="00F463D2">
        <w:rPr>
          <w:lang w:val="en-US"/>
        </w:rPr>
        <w:t xml:space="preserve"> discontinuity </w:t>
      </w:r>
      <w:r w:rsidR="001727BF">
        <w:rPr>
          <w:lang w:val="en-US"/>
        </w:rPr>
        <w:t>is applied compared to the pattern described in</w:t>
      </w:r>
      <w:r w:rsidR="00F463D2">
        <w:rPr>
          <w:lang w:val="en-US"/>
        </w:rPr>
        <w:t xml:space="preserve"> </w:t>
      </w:r>
      <w:r w:rsidR="003F2658">
        <w:rPr>
          <w:lang w:val="en-US"/>
        </w:rPr>
        <w:t>TR 38.803</w:t>
      </w:r>
      <w:r w:rsidR="001727BF">
        <w:rPr>
          <w:lang w:val="en-US"/>
        </w:rPr>
        <w:t>, as illustrated in</w:t>
      </w:r>
      <w:r w:rsidR="003F2658">
        <w:rPr>
          <w:lang w:val="en-US"/>
        </w:rPr>
        <w:t xml:space="preserve"> </w:t>
      </w:r>
      <w:r w:rsidR="003F2658">
        <w:rPr>
          <w:lang w:val="en-US"/>
        </w:rPr>
        <w:fldChar w:fldCharType="begin"/>
      </w:r>
      <w:r w:rsidR="003F2658">
        <w:rPr>
          <w:lang w:val="en-US"/>
        </w:rPr>
        <w:instrText xml:space="preserve"> REF _Ref511317158 \h </w:instrText>
      </w:r>
      <w:r w:rsidR="00DA6CC3">
        <w:rPr>
          <w:lang w:val="en-US"/>
        </w:rPr>
        <w:instrText xml:space="preserve"> \* MERGEFORMAT </w:instrText>
      </w:r>
      <w:r w:rsidR="003F2658">
        <w:rPr>
          <w:lang w:val="en-US"/>
        </w:rPr>
      </w:r>
      <w:r w:rsidR="003F2658">
        <w:rPr>
          <w:lang w:val="en-US"/>
        </w:rPr>
        <w:fldChar w:fldCharType="separate"/>
      </w:r>
      <w:r w:rsidR="003F2658">
        <w:t xml:space="preserve">Figure </w:t>
      </w:r>
      <w:r w:rsidR="003F2658">
        <w:rPr>
          <w:noProof/>
        </w:rPr>
        <w:t>10</w:t>
      </w:r>
      <w:r w:rsidR="003F2658">
        <w:rPr>
          <w:lang w:val="en-US"/>
        </w:rPr>
        <w:fldChar w:fldCharType="end"/>
      </w:r>
      <w:r w:rsidR="003F2658">
        <w:rPr>
          <w:lang w:val="en-US"/>
        </w:rPr>
        <w:t xml:space="preserve"> </w:t>
      </w:r>
      <w:r w:rsidR="001727BF">
        <w:rPr>
          <w:lang w:val="en-US"/>
        </w:rPr>
        <w:t xml:space="preserve">where </w:t>
      </w:r>
      <w:r w:rsidR="003F2658">
        <w:rPr>
          <w:lang w:val="en-US"/>
        </w:rPr>
        <w:t>8dB degradation</w:t>
      </w:r>
      <w:r w:rsidR="001727BF">
        <w:rPr>
          <w:lang w:val="en-US"/>
        </w:rPr>
        <w:t xml:space="preserve"> is taken into account</w:t>
      </w:r>
      <w:r w:rsidR="003F2658">
        <w:rPr>
          <w:lang w:val="en-US"/>
        </w:rPr>
        <w:t>.</w:t>
      </w:r>
    </w:p>
    <w:p w:rsidR="003F2658" w:rsidRDefault="003F2658" w:rsidP="003F2658">
      <w:pPr>
        <w:keepNext/>
        <w:jc w:val="center"/>
      </w:pPr>
      <w:r w:rsidRPr="003F2658">
        <w:rPr>
          <w:noProof/>
          <w:lang w:val="en-US"/>
        </w:rPr>
        <w:drawing>
          <wp:inline distT="0" distB="0" distL="0" distR="0" wp14:anchorId="1935D5BD" wp14:editId="015D42C4">
            <wp:extent cx="5325745" cy="3994150"/>
            <wp:effectExtent l="0" t="0" r="825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F2658" w:rsidRDefault="003F2658" w:rsidP="003F2658">
      <w:pPr>
        <w:pStyle w:val="Caption"/>
        <w:jc w:val="center"/>
      </w:pPr>
      <w:bookmarkStart w:id="24" w:name="_Ref511317158"/>
      <w:bookmarkStart w:id="25" w:name="_Ref511477823"/>
      <w:r>
        <w:t xml:space="preserve">Figure </w:t>
      </w:r>
      <w:r w:rsidR="003733B8">
        <w:fldChar w:fldCharType="begin"/>
      </w:r>
      <w:r w:rsidR="003733B8">
        <w:instrText xml:space="preserve"> SEQ Figure \* ARABIC </w:instrText>
      </w:r>
      <w:r w:rsidR="003733B8">
        <w:fldChar w:fldCharType="separate"/>
      </w:r>
      <w:r w:rsidR="003733B8">
        <w:rPr>
          <w:noProof/>
        </w:rPr>
        <w:t>10</w:t>
      </w:r>
      <w:r w:rsidR="003733B8">
        <w:fldChar w:fldCharType="end"/>
      </w:r>
      <w:bookmarkEnd w:id="24"/>
      <w:r>
        <w:t xml:space="preserve">. </w:t>
      </w:r>
      <w:r w:rsidR="001727BF">
        <w:t>CDF obtained by considering additional</w:t>
      </w:r>
      <w:r>
        <w:t xml:space="preserve"> 8dB degradation at 50%-tile (red dashed curve) and 20%-tile (yellow dashed curve)</w:t>
      </w:r>
      <w:r w:rsidR="001727BF">
        <w:t>. The blue curve represents the reference CDF from TR.</w:t>
      </w:r>
      <w:bookmarkEnd w:id="25"/>
    </w:p>
    <w:p w:rsidR="000760D3" w:rsidRDefault="001727BF" w:rsidP="00160ED5">
      <w:pPr>
        <w:jc w:val="both"/>
        <w:rPr>
          <w:lang w:val="en-US"/>
        </w:rPr>
      </w:pPr>
      <w:r>
        <w:rPr>
          <w:lang w:val="en-US"/>
        </w:rPr>
        <w:t>The throughput simulation r</w:t>
      </w:r>
      <w:r w:rsidR="000760D3">
        <w:rPr>
          <w:lang w:val="en-US"/>
        </w:rPr>
        <w:t xml:space="preserve">esults are shown in </w:t>
      </w:r>
      <w:r w:rsidR="003C3414">
        <w:rPr>
          <w:lang w:val="en-US"/>
        </w:rPr>
        <w:fldChar w:fldCharType="begin"/>
      </w:r>
      <w:r w:rsidR="003C3414">
        <w:rPr>
          <w:lang w:val="en-US"/>
        </w:rPr>
        <w:instrText xml:space="preserve"> REF _Ref511318429 \h </w:instrText>
      </w:r>
      <w:r>
        <w:rPr>
          <w:lang w:val="en-US"/>
        </w:rPr>
        <w:instrText xml:space="preserve"> \* MERGEFORMAT </w:instrText>
      </w:r>
      <w:r w:rsidR="003C3414">
        <w:rPr>
          <w:lang w:val="en-US"/>
        </w:rPr>
      </w:r>
      <w:r w:rsidR="003C3414">
        <w:rPr>
          <w:lang w:val="en-US"/>
        </w:rPr>
        <w:fldChar w:fldCharType="separate"/>
      </w:r>
      <w:r w:rsidR="003C3414">
        <w:t xml:space="preserve">Figure </w:t>
      </w:r>
      <w:r w:rsidR="003C3414">
        <w:rPr>
          <w:noProof/>
        </w:rPr>
        <w:t>11</w:t>
      </w:r>
      <w:r w:rsidR="003C3414">
        <w:rPr>
          <w:lang w:val="en-US"/>
        </w:rPr>
        <w:fldChar w:fldCharType="end"/>
      </w:r>
      <w:r w:rsidR="009438F4">
        <w:rPr>
          <w:lang w:val="en-US"/>
        </w:rPr>
        <w:t xml:space="preserve"> and </w:t>
      </w:r>
      <w:r w:rsidR="002522C0">
        <w:rPr>
          <w:lang w:val="en-US"/>
        </w:rPr>
        <w:fldChar w:fldCharType="begin"/>
      </w:r>
      <w:r w:rsidR="002522C0">
        <w:rPr>
          <w:lang w:val="en-US"/>
        </w:rPr>
        <w:instrText xml:space="preserve"> REF _Ref511319378 \h </w:instrText>
      </w:r>
      <w:r>
        <w:rPr>
          <w:lang w:val="en-US"/>
        </w:rPr>
        <w:instrText xml:space="preserve"> \* MERGEFORMAT </w:instrText>
      </w:r>
      <w:r w:rsidR="002522C0">
        <w:rPr>
          <w:lang w:val="en-US"/>
        </w:rPr>
      </w:r>
      <w:r w:rsidR="002522C0">
        <w:rPr>
          <w:lang w:val="en-US"/>
        </w:rPr>
        <w:fldChar w:fldCharType="separate"/>
      </w:r>
      <w:r w:rsidR="002522C0">
        <w:t xml:space="preserve">Figure </w:t>
      </w:r>
      <w:r w:rsidR="002522C0">
        <w:rPr>
          <w:noProof/>
        </w:rPr>
        <w:t>12</w:t>
      </w:r>
      <w:r w:rsidR="002522C0">
        <w:rPr>
          <w:lang w:val="en-US"/>
        </w:rPr>
        <w:fldChar w:fldCharType="end"/>
      </w:r>
      <w:r w:rsidR="000760D3">
        <w:rPr>
          <w:lang w:val="en-US"/>
        </w:rPr>
        <w:t xml:space="preserve"> for urban macro (UMa) UL scenario with ISD = 200m</w:t>
      </w:r>
      <w:r>
        <w:rPr>
          <w:lang w:val="en-US"/>
        </w:rPr>
        <w:t>, considering the case in which</w:t>
      </w:r>
      <w:r w:rsidR="009438F4">
        <w:rPr>
          <w:lang w:val="en-US"/>
        </w:rPr>
        <w:t xml:space="preserve"> the 20%-tile and 50%-tile CDF intercept points are degraded </w:t>
      </w:r>
      <w:r>
        <w:rPr>
          <w:lang w:val="en-US"/>
        </w:rPr>
        <w:t>up to</w:t>
      </w:r>
      <w:r w:rsidR="009438F4">
        <w:rPr>
          <w:lang w:val="en-US"/>
        </w:rPr>
        <w:t xml:space="preserve"> 8dB</w:t>
      </w:r>
      <w:r>
        <w:rPr>
          <w:lang w:val="en-US"/>
        </w:rPr>
        <w:t>, respectively</w:t>
      </w:r>
      <w:r w:rsidR="000760D3">
        <w:rPr>
          <w:lang w:val="en-US"/>
        </w:rPr>
        <w:t xml:space="preserve">. </w:t>
      </w:r>
      <w:r w:rsidR="002522C0">
        <w:rPr>
          <w:lang w:val="en-US"/>
        </w:rPr>
        <w:t>The</w:t>
      </w:r>
      <w:r w:rsidR="003C3414">
        <w:rPr>
          <w:lang w:val="en-US"/>
        </w:rPr>
        <w:t xml:space="preserve"> </w:t>
      </w:r>
      <w:r>
        <w:rPr>
          <w:lang w:val="en-US"/>
        </w:rPr>
        <w:t xml:space="preserve">results are expressed in terms of </w:t>
      </w:r>
      <w:r w:rsidR="003C3414">
        <w:rPr>
          <w:lang w:val="en-US"/>
        </w:rPr>
        <w:t xml:space="preserve">5%-tile and average throughput compared to the reference TR CDF </w:t>
      </w:r>
      <w:r w:rsidR="009438F4">
        <w:rPr>
          <w:lang w:val="en-US"/>
        </w:rPr>
        <w:t>throughput performance</w:t>
      </w:r>
      <w:r w:rsidR="003C3414">
        <w:rPr>
          <w:lang w:val="en-US"/>
        </w:rPr>
        <w:t>.</w:t>
      </w:r>
      <w:r w:rsidR="002522C0">
        <w:rPr>
          <w:lang w:val="en-US"/>
        </w:rPr>
        <w:t xml:space="preserve"> In summary:</w:t>
      </w:r>
    </w:p>
    <w:p w:rsidR="002522C0" w:rsidRDefault="002522C0" w:rsidP="00160ED5">
      <w:pPr>
        <w:pStyle w:val="ListParagraph"/>
        <w:numPr>
          <w:ilvl w:val="0"/>
          <w:numId w:val="24"/>
        </w:numPr>
        <w:jc w:val="both"/>
        <w:rPr>
          <w:lang w:val="en-US"/>
        </w:rPr>
      </w:pPr>
      <w:r>
        <w:rPr>
          <w:lang w:val="en-US"/>
        </w:rPr>
        <w:t xml:space="preserve">For 20%-tile CDF degradation, the 5%-tile throughput loss goes up to ~26% while the average throughput loss reaches ~5%. </w:t>
      </w:r>
    </w:p>
    <w:p w:rsidR="002522C0" w:rsidRDefault="002522C0" w:rsidP="00160ED5">
      <w:pPr>
        <w:pStyle w:val="ListParagraph"/>
        <w:numPr>
          <w:ilvl w:val="0"/>
          <w:numId w:val="24"/>
        </w:numPr>
        <w:jc w:val="both"/>
        <w:rPr>
          <w:lang w:val="en-US"/>
        </w:rPr>
      </w:pPr>
      <w:r>
        <w:rPr>
          <w:lang w:val="en-US"/>
        </w:rPr>
        <w:t>For 50%-tile CDF degradation, the 5%-tile throughput loss goes up to ~60% while the average throughput loss reaches ~18%.</w:t>
      </w:r>
    </w:p>
    <w:p w:rsidR="002522C0" w:rsidRDefault="002522C0" w:rsidP="00160ED5">
      <w:pPr>
        <w:jc w:val="both"/>
        <w:rPr>
          <w:lang w:val="en-US"/>
        </w:rPr>
      </w:pPr>
      <w:r>
        <w:rPr>
          <w:lang w:val="en-US"/>
        </w:rPr>
        <w:t xml:space="preserve">Despite the impact of </w:t>
      </w:r>
      <w:r w:rsidR="00A422F7">
        <w:rPr>
          <w:lang w:val="en-US"/>
        </w:rPr>
        <w:t xml:space="preserve">the </w:t>
      </w:r>
      <w:r>
        <w:rPr>
          <w:lang w:val="en-US"/>
        </w:rPr>
        <w:t>CDF degradation on network performance is already evident</w:t>
      </w:r>
      <w:r w:rsidR="00F225C3">
        <w:rPr>
          <w:lang w:val="en-US"/>
        </w:rPr>
        <w:t xml:space="preserve"> in </w:t>
      </w:r>
      <w:r w:rsidR="00A422F7">
        <w:rPr>
          <w:lang w:val="en-US"/>
        </w:rPr>
        <w:t xml:space="preserve">both </w:t>
      </w:r>
      <w:r w:rsidR="00F225C3">
        <w:rPr>
          <w:lang w:val="en-US"/>
        </w:rPr>
        <w:t>cases</w:t>
      </w:r>
      <w:r>
        <w:rPr>
          <w:lang w:val="en-US"/>
        </w:rPr>
        <w:t xml:space="preserve">, it is worth noting </w:t>
      </w:r>
      <w:r w:rsidR="00F225C3">
        <w:rPr>
          <w:lang w:val="en-US"/>
        </w:rPr>
        <w:t xml:space="preserve">that such a degradation as reported in </w:t>
      </w:r>
      <w:r w:rsidR="00F225C3">
        <w:rPr>
          <w:lang w:val="en-US"/>
        </w:rPr>
        <w:fldChar w:fldCharType="begin"/>
      </w:r>
      <w:r w:rsidR="00F225C3">
        <w:rPr>
          <w:lang w:val="en-US"/>
        </w:rPr>
        <w:instrText xml:space="preserve"> REF _Ref511317158 \h </w:instrText>
      </w:r>
      <w:r w:rsidR="00A422F7">
        <w:rPr>
          <w:lang w:val="en-US"/>
        </w:rPr>
        <w:instrText xml:space="preserve"> \* MERGEFORMAT </w:instrText>
      </w:r>
      <w:r w:rsidR="00F225C3">
        <w:rPr>
          <w:lang w:val="en-US"/>
        </w:rPr>
      </w:r>
      <w:r w:rsidR="00F225C3">
        <w:rPr>
          <w:lang w:val="en-US"/>
        </w:rPr>
        <w:fldChar w:fldCharType="separate"/>
      </w:r>
      <w:r w:rsidR="00F225C3">
        <w:t xml:space="preserve">Figure </w:t>
      </w:r>
      <w:r w:rsidR="00F225C3">
        <w:rPr>
          <w:noProof/>
        </w:rPr>
        <w:t>10</w:t>
      </w:r>
      <w:r w:rsidR="00F225C3">
        <w:rPr>
          <w:lang w:val="en-US"/>
        </w:rPr>
        <w:fldChar w:fldCharType="end"/>
      </w:r>
      <w:r w:rsidR="00F225C3">
        <w:rPr>
          <w:lang w:val="en-US"/>
        </w:rPr>
        <w:t xml:space="preserve"> represents an ideal case that cannot be achieved with realistic antenna patterns. </w:t>
      </w:r>
      <w:r w:rsidR="00A422F7">
        <w:rPr>
          <w:lang w:val="en-US"/>
        </w:rPr>
        <w:t>The discontinuity which can be created with a mathematical formulation does not represent real antenna performance, since higher percentile points would naturally be affect by losses as well</w:t>
      </w:r>
      <w:r w:rsidR="00654C63">
        <w:rPr>
          <w:lang w:val="en-US"/>
        </w:rPr>
        <w:t xml:space="preserve">. </w:t>
      </w:r>
      <w:r w:rsidR="00A422F7">
        <w:rPr>
          <w:lang w:val="en-US"/>
        </w:rPr>
        <w:t xml:space="preserve">In other words, for the same degradation at a specific percentile point, the CDF generated with the discontinuity represented in </w:t>
      </w:r>
      <w:r w:rsidR="00A422F7">
        <w:rPr>
          <w:lang w:val="en-US"/>
        </w:rPr>
        <w:fldChar w:fldCharType="begin"/>
      </w:r>
      <w:r w:rsidR="00A422F7">
        <w:rPr>
          <w:lang w:val="en-US"/>
        </w:rPr>
        <w:instrText xml:space="preserve"> REF _Ref511317158 \h </w:instrText>
      </w:r>
      <w:r w:rsidR="00A422F7">
        <w:rPr>
          <w:lang w:val="en-US"/>
        </w:rPr>
      </w:r>
      <w:r w:rsidR="00A422F7">
        <w:rPr>
          <w:lang w:val="en-US"/>
        </w:rPr>
        <w:fldChar w:fldCharType="separate"/>
      </w:r>
      <w:r w:rsidR="00A422F7">
        <w:t xml:space="preserve">Figure </w:t>
      </w:r>
      <w:r w:rsidR="00A422F7">
        <w:rPr>
          <w:noProof/>
        </w:rPr>
        <w:t>10</w:t>
      </w:r>
      <w:r w:rsidR="00A422F7">
        <w:rPr>
          <w:lang w:val="en-US"/>
        </w:rPr>
        <w:fldChar w:fldCharType="end"/>
      </w:r>
      <w:r w:rsidR="00A422F7">
        <w:rPr>
          <w:lang w:val="en-US"/>
        </w:rPr>
        <w:t xml:space="preserve"> represents the absolute best case scenario in terms of performance. </w:t>
      </w:r>
      <w:r w:rsidR="00654C63">
        <w:rPr>
          <w:lang w:val="en-US"/>
        </w:rPr>
        <w:t xml:space="preserve">For example, if we want to have degradation at 20%-tile, we </w:t>
      </w:r>
      <w:r w:rsidR="00A422F7">
        <w:rPr>
          <w:lang w:val="en-US"/>
        </w:rPr>
        <w:t xml:space="preserve">could </w:t>
      </w:r>
      <w:r w:rsidR="00654C63">
        <w:rPr>
          <w:lang w:val="en-US"/>
        </w:rPr>
        <w:t xml:space="preserve">expect the two curves to diverge around 50%-tile, as shown in </w:t>
      </w:r>
      <w:r w:rsidR="0099261C">
        <w:rPr>
          <w:lang w:val="en-US"/>
        </w:rPr>
        <w:fldChar w:fldCharType="begin"/>
      </w:r>
      <w:r w:rsidR="0099261C">
        <w:rPr>
          <w:lang w:val="en-US"/>
        </w:rPr>
        <w:instrText xml:space="preserve"> REF _Ref511321318 \h </w:instrText>
      </w:r>
      <w:r w:rsidR="00A422F7">
        <w:rPr>
          <w:lang w:val="en-US"/>
        </w:rPr>
        <w:instrText xml:space="preserve"> \* MERGEFORMAT </w:instrText>
      </w:r>
      <w:r w:rsidR="0099261C">
        <w:rPr>
          <w:lang w:val="en-US"/>
        </w:rPr>
      </w:r>
      <w:r w:rsidR="0099261C">
        <w:rPr>
          <w:lang w:val="en-US"/>
        </w:rPr>
        <w:fldChar w:fldCharType="separate"/>
      </w:r>
      <w:r w:rsidR="0099261C">
        <w:t xml:space="preserve">Figure </w:t>
      </w:r>
      <w:r w:rsidR="0099261C">
        <w:rPr>
          <w:noProof/>
        </w:rPr>
        <w:t>13</w:t>
      </w:r>
      <w:r w:rsidR="0099261C">
        <w:rPr>
          <w:lang w:val="en-US"/>
        </w:rPr>
        <w:fldChar w:fldCharType="end"/>
      </w:r>
      <w:r w:rsidR="00DE5050">
        <w:rPr>
          <w:lang w:val="en-US"/>
        </w:rPr>
        <w:t xml:space="preserve"> for 8dB CDF degradation at 20%-tile</w:t>
      </w:r>
      <w:r w:rsidR="0099261C">
        <w:rPr>
          <w:lang w:val="en-US"/>
        </w:rPr>
        <w:t xml:space="preserve">. </w:t>
      </w:r>
      <w:r w:rsidR="00DE5050">
        <w:rPr>
          <w:lang w:val="en-US"/>
        </w:rPr>
        <w:t>It is important to underline that such a modification of the CDF shape</w:t>
      </w:r>
      <w:r w:rsidR="0099261C">
        <w:rPr>
          <w:lang w:val="en-US"/>
        </w:rPr>
        <w:t xml:space="preserve"> </w:t>
      </w:r>
      <w:r w:rsidR="00A422F7">
        <w:rPr>
          <w:lang w:val="en-US"/>
        </w:rPr>
        <w:t>it is also not meant</w:t>
      </w:r>
      <w:r w:rsidR="0099261C">
        <w:rPr>
          <w:lang w:val="en-US"/>
        </w:rPr>
        <w:t xml:space="preserve"> to </w:t>
      </w:r>
      <w:r w:rsidR="00A422F7">
        <w:rPr>
          <w:lang w:val="en-US"/>
        </w:rPr>
        <w:t xml:space="preserve">represent a </w:t>
      </w:r>
      <w:r w:rsidR="0099261C">
        <w:rPr>
          <w:lang w:val="en-US"/>
        </w:rPr>
        <w:t xml:space="preserve">real antenna pattern CDF but </w:t>
      </w:r>
      <w:r w:rsidR="00A422F7">
        <w:rPr>
          <w:lang w:val="en-US"/>
        </w:rPr>
        <w:t xml:space="preserve">it is generated </w:t>
      </w:r>
      <w:r w:rsidR="0099261C">
        <w:rPr>
          <w:lang w:val="en-US"/>
        </w:rPr>
        <w:t xml:space="preserve">just </w:t>
      </w:r>
      <w:r w:rsidR="00A422F7">
        <w:rPr>
          <w:lang w:val="en-US"/>
        </w:rPr>
        <w:t xml:space="preserve">to </w:t>
      </w:r>
      <w:r w:rsidR="00707ABE">
        <w:rPr>
          <w:lang w:val="en-US"/>
        </w:rPr>
        <w:t>give a</w:t>
      </w:r>
      <w:r w:rsidR="00A422F7">
        <w:rPr>
          <w:lang w:val="en-US"/>
        </w:rPr>
        <w:t xml:space="preserve">n idea of the </w:t>
      </w:r>
      <w:r w:rsidR="00707ABE">
        <w:rPr>
          <w:lang w:val="en-US"/>
        </w:rPr>
        <w:t>network performance sensitivity at 20%-tile in a less ideal scenario.</w:t>
      </w:r>
    </w:p>
    <w:p w:rsidR="003733B8" w:rsidRPr="002522C0" w:rsidRDefault="003733B8" w:rsidP="00160ED5">
      <w:pPr>
        <w:jc w:val="both"/>
        <w:rPr>
          <w:lang w:val="en-US"/>
        </w:rPr>
      </w:pPr>
      <w:r>
        <w:rPr>
          <w:lang w:val="en-US"/>
        </w:rPr>
        <w:t xml:space="preserve">Correspondent results are shown in </w:t>
      </w:r>
      <w:r>
        <w:rPr>
          <w:lang w:val="en-US"/>
        </w:rPr>
        <w:fldChar w:fldCharType="begin"/>
      </w:r>
      <w:r>
        <w:rPr>
          <w:lang w:val="en-US"/>
        </w:rPr>
        <w:instrText xml:space="preserve"> REF _Ref511380929 \h </w:instrText>
      </w:r>
      <w:r w:rsidR="00A422F7">
        <w:rPr>
          <w:lang w:val="en-US"/>
        </w:rPr>
        <w:instrText xml:space="preserve"> \* MERGEFORMAT </w:instrText>
      </w:r>
      <w:r>
        <w:rPr>
          <w:lang w:val="en-US"/>
        </w:rPr>
      </w:r>
      <w:r>
        <w:rPr>
          <w:lang w:val="en-US"/>
        </w:rPr>
        <w:fldChar w:fldCharType="separate"/>
      </w:r>
      <w:r>
        <w:t xml:space="preserve">Figure </w:t>
      </w:r>
      <w:r>
        <w:rPr>
          <w:noProof/>
        </w:rPr>
        <w:t>14</w:t>
      </w:r>
      <w:r>
        <w:rPr>
          <w:lang w:val="en-US"/>
        </w:rPr>
        <w:fldChar w:fldCharType="end"/>
      </w:r>
      <w:r>
        <w:rPr>
          <w:lang w:val="en-US"/>
        </w:rPr>
        <w:t>. The performance loss is doubled compared to the previous analysis resulting in a throughput loss at 5%-tile up to ~55% and ~10% for average throughput.</w:t>
      </w:r>
      <w:r w:rsidR="00AB6F4A">
        <w:rPr>
          <w:lang w:val="en-US"/>
        </w:rPr>
        <w:t xml:space="preserve"> These number are fully consistent with our data in </w:t>
      </w:r>
      <w:r w:rsidR="00AB6F4A">
        <w:rPr>
          <w:lang w:val="en-US"/>
        </w:rPr>
        <w:fldChar w:fldCharType="begin"/>
      </w:r>
      <w:r w:rsidR="00AB6F4A">
        <w:rPr>
          <w:lang w:val="en-US"/>
        </w:rPr>
        <w:instrText xml:space="preserve"> REF _Ref510693097 \h </w:instrText>
      </w:r>
      <w:r w:rsidR="00AB6F4A">
        <w:rPr>
          <w:lang w:val="en-US"/>
        </w:rPr>
      </w:r>
      <w:r w:rsidR="00AB6F4A">
        <w:rPr>
          <w:lang w:val="en-US"/>
        </w:rPr>
        <w:fldChar w:fldCharType="separate"/>
      </w:r>
      <w:r w:rsidR="00AB6F4A">
        <w:t xml:space="preserve">Table </w:t>
      </w:r>
      <w:r w:rsidR="00AB6F4A">
        <w:rPr>
          <w:noProof/>
        </w:rPr>
        <w:t>5</w:t>
      </w:r>
      <w:r w:rsidR="00AB6F4A">
        <w:rPr>
          <w:lang w:val="en-US"/>
        </w:rPr>
        <w:fldChar w:fldCharType="end"/>
      </w:r>
      <w:r w:rsidR="00AB6F4A">
        <w:rPr>
          <w:lang w:val="en-US"/>
        </w:rPr>
        <w:t xml:space="preserve"> showing the validity of our analysis.</w:t>
      </w:r>
    </w:p>
    <w:p w:rsidR="000760D3" w:rsidRDefault="000760D3" w:rsidP="000760D3">
      <w:pPr>
        <w:keepNext/>
        <w:jc w:val="center"/>
      </w:pPr>
      <w:r w:rsidRPr="000760D3">
        <w:rPr>
          <w:noProof/>
        </w:rPr>
        <w:drawing>
          <wp:inline distT="0" distB="0" distL="0" distR="0" wp14:anchorId="1CC92F19" wp14:editId="30F2E712">
            <wp:extent cx="5325745" cy="399415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0760D3" w:rsidRDefault="000760D3" w:rsidP="000760D3">
      <w:pPr>
        <w:pStyle w:val="Caption"/>
        <w:jc w:val="center"/>
        <w:rPr>
          <w:lang w:val="en-US"/>
        </w:rPr>
      </w:pPr>
      <w:bookmarkStart w:id="26" w:name="_Ref511318429"/>
      <w:r>
        <w:t xml:space="preserve">Figure </w:t>
      </w:r>
      <w:r w:rsidR="003733B8">
        <w:fldChar w:fldCharType="begin"/>
      </w:r>
      <w:r w:rsidR="003733B8">
        <w:instrText xml:space="preserve"> SEQ Figure \* ARABIC </w:instrText>
      </w:r>
      <w:r w:rsidR="003733B8">
        <w:fldChar w:fldCharType="separate"/>
      </w:r>
      <w:r w:rsidR="003733B8">
        <w:rPr>
          <w:noProof/>
        </w:rPr>
        <w:t>11</w:t>
      </w:r>
      <w:r w:rsidR="003733B8">
        <w:fldChar w:fldCharType="end"/>
      </w:r>
      <w:bookmarkEnd w:id="26"/>
      <w:r>
        <w:t xml:space="preserve">. Network performance loss for antenna gains CDF </w:t>
      </w:r>
      <w:r w:rsidR="005B0411">
        <w:t>20%-tile</w:t>
      </w:r>
      <w:r w:rsidR="005B0411" w:rsidRPr="00251B3F">
        <w:t xml:space="preserve"> </w:t>
      </w:r>
      <w:r>
        <w:t>degradation from 0 to 8 dB</w:t>
      </w:r>
    </w:p>
    <w:p w:rsidR="003F2658" w:rsidRDefault="003F2658" w:rsidP="003F2658">
      <w:pPr>
        <w:rPr>
          <w:lang w:val="en-US"/>
        </w:rPr>
      </w:pPr>
    </w:p>
    <w:p w:rsidR="009438F4" w:rsidRDefault="009438F4" w:rsidP="009438F4">
      <w:pPr>
        <w:keepNext/>
        <w:jc w:val="center"/>
      </w:pPr>
      <w:r w:rsidRPr="009438F4">
        <w:rPr>
          <w:noProof/>
          <w:lang w:val="en-US"/>
        </w:rPr>
        <w:drawing>
          <wp:inline distT="0" distB="0" distL="0" distR="0" wp14:anchorId="484DB9CB" wp14:editId="62B1221E">
            <wp:extent cx="5325745" cy="3994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438F4" w:rsidRDefault="009438F4" w:rsidP="009438F4">
      <w:pPr>
        <w:pStyle w:val="Caption"/>
        <w:jc w:val="center"/>
      </w:pPr>
      <w:bookmarkStart w:id="27" w:name="_Ref511319378"/>
      <w:r>
        <w:t xml:space="preserve">Figure </w:t>
      </w:r>
      <w:r w:rsidR="003733B8">
        <w:fldChar w:fldCharType="begin"/>
      </w:r>
      <w:r w:rsidR="003733B8">
        <w:instrText xml:space="preserve"> SEQ Figure \* ARABIC </w:instrText>
      </w:r>
      <w:r w:rsidR="003733B8">
        <w:fldChar w:fldCharType="separate"/>
      </w:r>
      <w:r w:rsidR="003733B8">
        <w:rPr>
          <w:noProof/>
        </w:rPr>
        <w:t>12</w:t>
      </w:r>
      <w:r w:rsidR="003733B8">
        <w:fldChar w:fldCharType="end"/>
      </w:r>
      <w:bookmarkEnd w:id="27"/>
      <w:r>
        <w:t xml:space="preserve">. </w:t>
      </w:r>
      <w:r w:rsidRPr="00251B3F">
        <w:t>Network performance loss for antenna gains CDF</w:t>
      </w:r>
      <w:r w:rsidR="005B0411">
        <w:t xml:space="preserve"> 50%-tile</w:t>
      </w:r>
      <w:r w:rsidRPr="00251B3F">
        <w:t xml:space="preserve"> degradation from 0 to 8 dB</w:t>
      </w:r>
    </w:p>
    <w:p w:rsidR="0099261C" w:rsidRDefault="00654C63" w:rsidP="0099261C">
      <w:pPr>
        <w:keepNext/>
        <w:jc w:val="center"/>
      </w:pPr>
      <w:r w:rsidRPr="00654C63">
        <w:rPr>
          <w:noProof/>
        </w:rPr>
        <w:drawing>
          <wp:inline distT="0" distB="0" distL="0" distR="0" wp14:anchorId="3F7FA552" wp14:editId="089E8445">
            <wp:extent cx="5325745" cy="3994150"/>
            <wp:effectExtent l="0" t="0" r="825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54C63" w:rsidRDefault="0099261C" w:rsidP="0099261C">
      <w:pPr>
        <w:pStyle w:val="Caption"/>
        <w:jc w:val="center"/>
      </w:pPr>
      <w:bookmarkStart w:id="28" w:name="_Ref511321318"/>
      <w:r>
        <w:t xml:space="preserve">Figure </w:t>
      </w:r>
      <w:r w:rsidR="003733B8">
        <w:fldChar w:fldCharType="begin"/>
      </w:r>
      <w:r w:rsidR="003733B8">
        <w:instrText xml:space="preserve"> SEQ Figure \* ARABIC </w:instrText>
      </w:r>
      <w:r w:rsidR="003733B8">
        <w:fldChar w:fldCharType="separate"/>
      </w:r>
      <w:r w:rsidR="003733B8">
        <w:rPr>
          <w:noProof/>
        </w:rPr>
        <w:t>13</w:t>
      </w:r>
      <w:r w:rsidR="003733B8">
        <w:fldChar w:fldCharType="end"/>
      </w:r>
      <w:bookmarkEnd w:id="28"/>
      <w:r>
        <w:t xml:space="preserve">. </w:t>
      </w:r>
      <w:r w:rsidRPr="00535C0B">
        <w:t>Antenna gains CDF 8dB degradation at 20%-tile</w:t>
      </w:r>
      <w:r>
        <w:t xml:space="preserve"> with divergence at 50%-tile</w:t>
      </w:r>
    </w:p>
    <w:p w:rsidR="00707ABE" w:rsidRDefault="00707ABE" w:rsidP="00707ABE"/>
    <w:p w:rsidR="003733B8" w:rsidRDefault="00707ABE" w:rsidP="003733B8">
      <w:pPr>
        <w:keepNext/>
        <w:jc w:val="center"/>
      </w:pPr>
      <w:r w:rsidRPr="00707ABE">
        <w:rPr>
          <w:noProof/>
        </w:rPr>
        <w:drawing>
          <wp:inline distT="0" distB="0" distL="0" distR="0" wp14:anchorId="057B356D" wp14:editId="52F4CE2F">
            <wp:extent cx="5327650" cy="399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707ABE" w:rsidRPr="00707ABE" w:rsidRDefault="003733B8" w:rsidP="003733B8">
      <w:pPr>
        <w:pStyle w:val="Caption"/>
        <w:jc w:val="center"/>
      </w:pPr>
      <w:bookmarkStart w:id="29" w:name="_Ref511380929"/>
      <w:r>
        <w:t xml:space="preserve">Figure </w:t>
      </w:r>
      <w:r>
        <w:fldChar w:fldCharType="begin"/>
      </w:r>
      <w:r>
        <w:instrText xml:space="preserve"> SEQ Figure \* ARABIC </w:instrText>
      </w:r>
      <w:r>
        <w:fldChar w:fldCharType="separate"/>
      </w:r>
      <w:r>
        <w:rPr>
          <w:noProof/>
        </w:rPr>
        <w:t>14</w:t>
      </w:r>
      <w:r>
        <w:fldChar w:fldCharType="end"/>
      </w:r>
      <w:bookmarkEnd w:id="29"/>
      <w:r>
        <w:t xml:space="preserve">. </w:t>
      </w:r>
      <w:r w:rsidRPr="009C67BA">
        <w:t>Network performance loss for antenna gains CDF 20%-tile degradation from 0 to 8 dB</w:t>
      </w:r>
    </w:p>
    <w:p w:rsidR="000D6455" w:rsidRPr="007D3C53" w:rsidRDefault="000D6455" w:rsidP="00A07D1C">
      <w:pPr>
        <w:pStyle w:val="Heading2"/>
        <w:rPr>
          <w:lang w:val="en-US"/>
        </w:rPr>
      </w:pPr>
      <w:r>
        <w:rPr>
          <w:lang w:val="en-US"/>
        </w:rPr>
        <w:t>General observation and proposals</w:t>
      </w:r>
    </w:p>
    <w:p w:rsidR="003054E0" w:rsidRDefault="003054E0">
      <w:pPr>
        <w:jc w:val="both"/>
        <w:rPr>
          <w:lang w:val="en-US"/>
        </w:rPr>
      </w:pPr>
      <w:r w:rsidRPr="00A07D1C">
        <w:rPr>
          <w:lang w:val="en-US"/>
        </w:rPr>
        <w:t xml:space="preserve">In </w:t>
      </w:r>
      <w:r>
        <w:rPr>
          <w:lang w:val="en-US"/>
        </w:rPr>
        <w:t xml:space="preserve">section </w:t>
      </w:r>
      <w:r>
        <w:rPr>
          <w:lang w:val="en-US"/>
        </w:rPr>
        <w:fldChar w:fldCharType="begin"/>
      </w:r>
      <w:r>
        <w:rPr>
          <w:lang w:val="en-US"/>
        </w:rPr>
        <w:instrText xml:space="preserve"> REF _Ref506813320 \r \h </w:instrText>
      </w:r>
      <w:r>
        <w:rPr>
          <w:lang w:val="en-US"/>
        </w:rPr>
      </w:r>
      <w:r>
        <w:rPr>
          <w:lang w:val="en-US"/>
        </w:rPr>
        <w:fldChar w:fldCharType="separate"/>
      </w:r>
      <w:r w:rsidR="00516FE0">
        <w:rPr>
          <w:lang w:val="en-US"/>
        </w:rPr>
        <w:t>2.3</w:t>
      </w:r>
      <w:r>
        <w:rPr>
          <w:lang w:val="en-US"/>
        </w:rPr>
        <w:fldChar w:fldCharType="end"/>
      </w:r>
      <w:r>
        <w:rPr>
          <w:lang w:val="en-US"/>
        </w:rPr>
        <w:t xml:space="preserve"> we tried to evaluate the impact of spherical coverage requirement considering different aspects. We analyzed different deployment scenarios (Indoor, Dense Urban, Urban Macro), different channel BW (20MHz and 200MHz) and different blockage conditions. Our observations can be summarized as follows:</w:t>
      </w:r>
    </w:p>
    <w:p w:rsidR="00B33084" w:rsidRPr="00410190" w:rsidRDefault="003054E0" w:rsidP="00A07D1C">
      <w:pPr>
        <w:pStyle w:val="ListParagraph"/>
        <w:numPr>
          <w:ilvl w:val="0"/>
          <w:numId w:val="22"/>
        </w:numPr>
        <w:jc w:val="both"/>
        <w:rPr>
          <w:lang w:val="en-US"/>
        </w:rPr>
      </w:pPr>
      <w:r w:rsidRPr="00410190">
        <w:rPr>
          <w:lang w:val="en-US"/>
        </w:rPr>
        <w:t xml:space="preserve">Performance of </w:t>
      </w:r>
      <w:r w:rsidR="00F854A3" w:rsidRPr="00410190">
        <w:rPr>
          <w:lang w:val="en-US"/>
        </w:rPr>
        <w:t xml:space="preserve">multi-panel </w:t>
      </w:r>
      <w:r w:rsidRPr="00410190">
        <w:rPr>
          <w:lang w:val="en-US"/>
        </w:rPr>
        <w:t xml:space="preserve">is always better than </w:t>
      </w:r>
      <w:r w:rsidR="00F854A3" w:rsidRPr="00410190">
        <w:rPr>
          <w:lang w:val="en-US"/>
        </w:rPr>
        <w:t>single-panel</w:t>
      </w:r>
      <w:r w:rsidR="000631D9" w:rsidRPr="00410190">
        <w:rPr>
          <w:lang w:val="en-US"/>
        </w:rPr>
        <w:t xml:space="preserve"> in all scenarios</w:t>
      </w:r>
    </w:p>
    <w:p w:rsidR="00F854A3" w:rsidRPr="00410190" w:rsidRDefault="00F854A3" w:rsidP="00A07D1C">
      <w:pPr>
        <w:pStyle w:val="ListParagraph"/>
        <w:numPr>
          <w:ilvl w:val="0"/>
          <w:numId w:val="22"/>
        </w:numPr>
        <w:jc w:val="both"/>
        <w:rPr>
          <w:lang w:val="en-US"/>
        </w:rPr>
      </w:pPr>
      <w:r w:rsidRPr="00410190">
        <w:rPr>
          <w:lang w:val="en-US"/>
        </w:rPr>
        <w:t>With lower EIRP, the gap between the two configurations will be even higher</w:t>
      </w:r>
    </w:p>
    <w:p w:rsidR="00F517C1" w:rsidRPr="00C21129" w:rsidRDefault="00F517C1" w:rsidP="00F517C1">
      <w:pPr>
        <w:pStyle w:val="ListParagraph"/>
        <w:numPr>
          <w:ilvl w:val="0"/>
          <w:numId w:val="22"/>
        </w:numPr>
        <w:jc w:val="both"/>
        <w:rPr>
          <w:lang w:val="en-US"/>
        </w:rPr>
      </w:pPr>
      <w:r w:rsidRPr="00C21129">
        <w:rPr>
          <w:lang w:val="en-US"/>
        </w:rPr>
        <w:t>The impact of spherical coverage requirement affects both DL and UL</w:t>
      </w:r>
    </w:p>
    <w:p w:rsidR="003054E0" w:rsidRDefault="000631D9" w:rsidP="00A07D1C">
      <w:pPr>
        <w:pStyle w:val="ListParagraph"/>
        <w:numPr>
          <w:ilvl w:val="0"/>
          <w:numId w:val="22"/>
        </w:numPr>
        <w:jc w:val="both"/>
        <w:rPr>
          <w:lang w:val="en-US"/>
        </w:rPr>
      </w:pPr>
      <w:r>
        <w:rPr>
          <w:lang w:val="en-US"/>
        </w:rPr>
        <w:t xml:space="preserve">Even if blockage is not considered </w:t>
      </w:r>
      <w:r w:rsidR="00F854A3">
        <w:rPr>
          <w:lang w:val="en-US"/>
        </w:rPr>
        <w:t>TR CFG</w:t>
      </w:r>
      <w:r w:rsidR="005D38FB">
        <w:rPr>
          <w:lang w:val="en-US"/>
        </w:rPr>
        <w:t xml:space="preserve"> (multi-panel configuration)</w:t>
      </w:r>
      <w:r w:rsidR="00F854A3">
        <w:rPr>
          <w:lang w:val="en-US"/>
        </w:rPr>
        <w:t xml:space="preserve"> </w:t>
      </w:r>
      <w:r>
        <w:rPr>
          <w:lang w:val="en-US"/>
        </w:rPr>
        <w:t>significantly outperforms CFG1</w:t>
      </w:r>
    </w:p>
    <w:p w:rsidR="00AD7011" w:rsidRDefault="00AD7011" w:rsidP="00A07D1C">
      <w:pPr>
        <w:pStyle w:val="ListParagraph"/>
        <w:numPr>
          <w:ilvl w:val="0"/>
          <w:numId w:val="22"/>
        </w:numPr>
        <w:jc w:val="both"/>
        <w:rPr>
          <w:lang w:val="en-US"/>
        </w:rPr>
      </w:pPr>
      <w:r>
        <w:rPr>
          <w:lang w:val="en-US"/>
        </w:rPr>
        <w:t xml:space="preserve">In all the simulations, a completely random UE </w:t>
      </w:r>
      <w:r w:rsidR="00180790">
        <w:rPr>
          <w:lang w:val="en-US"/>
        </w:rPr>
        <w:t xml:space="preserve">orientation uniform on sphere surface </w:t>
      </w:r>
      <w:r>
        <w:rPr>
          <w:lang w:val="en-US"/>
        </w:rPr>
        <w:t xml:space="preserve">is considered. Typical UE position is not completely random, and this could make the difference between </w:t>
      </w:r>
      <w:r w:rsidR="00F854A3">
        <w:rPr>
          <w:lang w:val="en-US"/>
        </w:rPr>
        <w:t>two configurations</w:t>
      </w:r>
      <w:r>
        <w:rPr>
          <w:lang w:val="en-US"/>
        </w:rPr>
        <w:t xml:space="preserve"> even larger. </w:t>
      </w:r>
    </w:p>
    <w:p w:rsidR="00AB6F4A" w:rsidRDefault="00AB6F4A" w:rsidP="00A07D1C">
      <w:pPr>
        <w:pStyle w:val="ListParagraph"/>
        <w:numPr>
          <w:ilvl w:val="0"/>
          <w:numId w:val="22"/>
        </w:numPr>
        <w:jc w:val="both"/>
        <w:rPr>
          <w:lang w:val="en-US"/>
        </w:rPr>
      </w:pPr>
      <w:r>
        <w:rPr>
          <w:lang w:val="en-US"/>
        </w:rPr>
        <w:t>We also carried a sensitivity analysis to the 50% and 20% CDF values emphasizing the impact of those levels on the overall network performance.</w:t>
      </w:r>
    </w:p>
    <w:p w:rsidR="005D38FB" w:rsidRDefault="00D63339" w:rsidP="00A07D1C">
      <w:pPr>
        <w:jc w:val="both"/>
        <w:rPr>
          <w:lang w:val="en-US"/>
        </w:rPr>
      </w:pPr>
      <w:r>
        <w:rPr>
          <w:lang w:val="en-US"/>
        </w:rPr>
        <w:t xml:space="preserve">Considering </w:t>
      </w:r>
      <w:r w:rsidR="00F517C1">
        <w:rPr>
          <w:lang w:val="en-US"/>
        </w:rPr>
        <w:t>the</w:t>
      </w:r>
      <w:r>
        <w:rPr>
          <w:lang w:val="en-US"/>
        </w:rPr>
        <w:t xml:space="preserve"> above</w:t>
      </w:r>
      <w:r w:rsidR="00F517C1">
        <w:rPr>
          <w:lang w:val="en-US"/>
        </w:rPr>
        <w:t xml:space="preserve"> observations, we see a clear benefit in defining a spherical coverage requirement based on </w:t>
      </w:r>
      <w:r>
        <w:rPr>
          <w:lang w:val="en-US"/>
        </w:rPr>
        <w:t>multi-panel</w:t>
      </w:r>
      <w:r w:rsidR="00F854A3">
        <w:rPr>
          <w:lang w:val="en-US"/>
        </w:rPr>
        <w:t xml:space="preserve"> configuration</w:t>
      </w:r>
      <w:r>
        <w:rPr>
          <w:lang w:val="en-US"/>
        </w:rPr>
        <w:t>. In particular,</w:t>
      </w:r>
      <w:r w:rsidR="000040E9">
        <w:rPr>
          <w:lang w:val="en-US"/>
        </w:rPr>
        <w:t xml:space="preserve"> based also on the analysis carried out in Section </w:t>
      </w:r>
      <w:r w:rsidR="000040E9">
        <w:rPr>
          <w:lang w:val="en-US"/>
        </w:rPr>
        <w:fldChar w:fldCharType="begin"/>
      </w:r>
      <w:r w:rsidR="000040E9">
        <w:rPr>
          <w:lang w:val="en-US"/>
        </w:rPr>
        <w:instrText xml:space="preserve"> REF _Ref511381613 \n \h </w:instrText>
      </w:r>
      <w:r w:rsidR="000040E9">
        <w:rPr>
          <w:lang w:val="en-US"/>
        </w:rPr>
      </w:r>
      <w:r w:rsidR="000040E9">
        <w:rPr>
          <w:lang w:val="en-US"/>
        </w:rPr>
        <w:fldChar w:fldCharType="separate"/>
      </w:r>
      <w:r w:rsidR="000040E9">
        <w:rPr>
          <w:lang w:val="en-US"/>
        </w:rPr>
        <w:t>2.4</w:t>
      </w:r>
      <w:r w:rsidR="000040E9">
        <w:rPr>
          <w:lang w:val="en-US"/>
        </w:rPr>
        <w:fldChar w:fldCharType="end"/>
      </w:r>
      <w:r w:rsidR="000040E9">
        <w:rPr>
          <w:lang w:val="en-US"/>
        </w:rPr>
        <w:t>, we conclude that</w:t>
      </w:r>
      <w:r>
        <w:rPr>
          <w:lang w:val="en-US"/>
        </w:rPr>
        <w:t xml:space="preserve"> 20%-tile droop is a fundamental requirement to guarantee good coverage and performance even for cell-edge UEs. </w:t>
      </w:r>
    </w:p>
    <w:p w:rsidR="00E84C2F" w:rsidRDefault="00E84C2F" w:rsidP="00E84C2F">
      <w:pPr>
        <w:jc w:val="both"/>
        <w:rPr>
          <w:b/>
          <w:i/>
          <w:lang w:val="en-US"/>
        </w:rPr>
      </w:pPr>
      <w:r w:rsidRPr="005A43BA">
        <w:rPr>
          <w:b/>
          <w:i/>
          <w:lang w:val="en-US"/>
        </w:rPr>
        <w:t>Proposal: to define 20%-tile</w:t>
      </w:r>
      <w:r>
        <w:rPr>
          <w:b/>
          <w:i/>
          <w:lang w:val="en-US"/>
        </w:rPr>
        <w:t xml:space="preserve"> and 50%-tile</w:t>
      </w:r>
      <w:r w:rsidRPr="005A43BA">
        <w:rPr>
          <w:b/>
          <w:i/>
          <w:lang w:val="en-US"/>
        </w:rPr>
        <w:t xml:space="preserve"> point</w:t>
      </w:r>
      <w:r w:rsidR="003C2FA7">
        <w:rPr>
          <w:b/>
          <w:i/>
          <w:lang w:val="en-US"/>
        </w:rPr>
        <w:t>s</w:t>
      </w:r>
      <w:r>
        <w:rPr>
          <w:b/>
          <w:i/>
          <w:lang w:val="en-US"/>
        </w:rPr>
        <w:t xml:space="preserve"> for the spherical coverage requirement.</w:t>
      </w:r>
    </w:p>
    <w:p w:rsidR="00D92A2B" w:rsidRDefault="00D92A2B" w:rsidP="00A07D1C">
      <w:pPr>
        <w:jc w:val="both"/>
        <w:rPr>
          <w:lang w:val="en-US"/>
        </w:rPr>
      </w:pPr>
      <w:r>
        <w:rPr>
          <w:lang w:val="en-US"/>
        </w:rPr>
        <w:t>Also,</w:t>
      </w:r>
      <w:r w:rsidR="00206CD4">
        <w:rPr>
          <w:lang w:val="en-US"/>
        </w:rPr>
        <w:t xml:space="preserve"> from the results collected</w:t>
      </w:r>
      <w:r>
        <w:rPr>
          <w:lang w:val="en-US"/>
        </w:rPr>
        <w:t xml:space="preserve"> d</w:t>
      </w:r>
      <w:r w:rsidRPr="00D92A2B">
        <w:rPr>
          <w:lang w:val="en-US"/>
        </w:rPr>
        <w:t>efini</w:t>
      </w:r>
      <w:r>
        <w:rPr>
          <w:lang w:val="en-US"/>
        </w:rPr>
        <w:t xml:space="preserve">ng a spherical coverage requirement achieving both 20%-tile and 50%-tile level similar to TR 38.803 would guarantee acceptable system performance. </w:t>
      </w:r>
    </w:p>
    <w:p w:rsidR="007F52DA" w:rsidRDefault="007F52DA" w:rsidP="007F52DA">
      <w:pPr>
        <w:jc w:val="both"/>
        <w:rPr>
          <w:b/>
          <w:i/>
          <w:lang w:val="en-US"/>
        </w:rPr>
      </w:pPr>
      <w:r w:rsidRPr="00D92A2B">
        <w:rPr>
          <w:b/>
          <w:i/>
          <w:lang w:val="en-US"/>
        </w:rPr>
        <w:t xml:space="preserve">Observation 4: </w:t>
      </w:r>
      <w:r>
        <w:rPr>
          <w:b/>
          <w:i/>
          <w:lang w:val="en-US"/>
        </w:rPr>
        <w:t xml:space="preserve">from a network performance perspective, </w:t>
      </w:r>
      <w:r w:rsidRPr="00D92A2B">
        <w:rPr>
          <w:b/>
          <w:i/>
          <w:lang w:val="en-US"/>
        </w:rPr>
        <w:t>defining a spherical coverage requirement achieving both 20%-tile and 50%-tile level similar to TR 38.803 would guarantee acceptable system</w:t>
      </w:r>
      <w:r>
        <w:rPr>
          <w:b/>
          <w:i/>
          <w:lang w:val="en-US"/>
        </w:rPr>
        <w:t xml:space="preserve"> performance</w:t>
      </w:r>
      <w:r w:rsidRPr="00D92A2B">
        <w:rPr>
          <w:b/>
          <w:i/>
          <w:lang w:val="en-US"/>
        </w:rPr>
        <w:t>.</w:t>
      </w:r>
      <w:r>
        <w:rPr>
          <w:b/>
          <w:i/>
          <w:lang w:val="en-US"/>
        </w:rPr>
        <w:t xml:space="preserve"> This means that ~10dB droop at 20%-tile and ~5.5dB droop at 50%-tile would be needed to achieve the target network performance.</w:t>
      </w:r>
    </w:p>
    <w:p w:rsidR="000364DC" w:rsidRDefault="000364DC" w:rsidP="000364DC">
      <w:pPr>
        <w:pStyle w:val="Heading1"/>
        <w:numPr>
          <w:ilvl w:val="0"/>
          <w:numId w:val="0"/>
        </w:numPr>
        <w:tabs>
          <w:tab w:val="num" w:pos="432"/>
        </w:tabs>
        <w:ind w:left="432" w:hanging="432"/>
        <w:jc w:val="both"/>
        <w:rPr>
          <w:lang w:val="en-US"/>
        </w:rPr>
      </w:pPr>
      <w:r>
        <w:rPr>
          <w:lang w:val="en-US"/>
        </w:rPr>
        <w:t>Conclusions</w:t>
      </w:r>
    </w:p>
    <w:p w:rsidR="00831C98" w:rsidRDefault="00F517C1" w:rsidP="00A07D1C">
      <w:pPr>
        <w:jc w:val="both"/>
        <w:rPr>
          <w:lang w:val="en-US"/>
        </w:rPr>
      </w:pPr>
      <w:r>
        <w:rPr>
          <w:lang w:val="en-US"/>
        </w:rPr>
        <w:t>In this contribution we studied the spherical coverage requirement for UE operating in FR2.</w:t>
      </w:r>
      <w:r w:rsidR="00831C98">
        <w:rPr>
          <w:lang w:val="en-US"/>
        </w:rPr>
        <w:t xml:space="preserve"> </w:t>
      </w:r>
    </w:p>
    <w:p w:rsidR="00C71EE3" w:rsidRDefault="00831C98" w:rsidP="00A07D1C">
      <w:pPr>
        <w:jc w:val="both"/>
        <w:rPr>
          <w:rFonts w:cs="v5.0.0"/>
          <w:b/>
        </w:rPr>
      </w:pPr>
      <w:r>
        <w:rPr>
          <w:lang w:val="en-US"/>
        </w:rPr>
        <w:t>At first, we analyzed the impact of finite beamforming on network coverage and performance, and observed:</w:t>
      </w:r>
    </w:p>
    <w:p w:rsidR="00831C98" w:rsidRDefault="00831C98" w:rsidP="00A07D1C">
      <w:pPr>
        <w:jc w:val="both"/>
        <w:rPr>
          <w:rFonts w:cs="v5.0.0"/>
          <w:b/>
          <w:i/>
        </w:rPr>
      </w:pPr>
      <w:r w:rsidRPr="000479EC">
        <w:rPr>
          <w:rFonts w:cs="v5.0.0"/>
          <w:b/>
          <w:i/>
        </w:rPr>
        <w:t>Observation</w:t>
      </w:r>
      <w:r w:rsidR="00C71EE3" w:rsidRPr="000479EC">
        <w:rPr>
          <w:rFonts w:cs="v5.0.0"/>
          <w:b/>
          <w:i/>
        </w:rPr>
        <w:t xml:space="preserve"> 1</w:t>
      </w:r>
      <w:r w:rsidRPr="000479EC">
        <w:rPr>
          <w:rFonts w:cs="v5.0.0"/>
          <w:b/>
          <w:i/>
        </w:rPr>
        <w:t xml:space="preserve">: Using finite beamforming with beam directions defined in </w:t>
      </w:r>
      <w:r w:rsidRPr="000479EC">
        <w:rPr>
          <w:rFonts w:cs="v5.0.0"/>
          <w:b/>
          <w:i/>
        </w:rPr>
        <w:fldChar w:fldCharType="begin"/>
      </w:r>
      <w:r w:rsidRPr="000479EC">
        <w:rPr>
          <w:rFonts w:cs="v5.0.0"/>
          <w:b/>
          <w:i/>
        </w:rPr>
        <w:instrText xml:space="preserve"> REF _Ref503262415 \n \h  \* MERGEFORMAT </w:instrText>
      </w:r>
      <w:r w:rsidRPr="000479EC">
        <w:rPr>
          <w:rFonts w:cs="v5.0.0"/>
          <w:b/>
          <w:i/>
        </w:rPr>
      </w:r>
      <w:r w:rsidRPr="000479EC">
        <w:rPr>
          <w:rFonts w:cs="v5.0.0"/>
          <w:b/>
          <w:i/>
        </w:rPr>
        <w:fldChar w:fldCharType="separate"/>
      </w:r>
      <w:r w:rsidR="00516FE0" w:rsidRPr="000479EC">
        <w:rPr>
          <w:rFonts w:cs="v5.0.0"/>
          <w:b/>
          <w:i/>
        </w:rPr>
        <w:t>[1]</w:t>
      </w:r>
      <w:r w:rsidRPr="000479EC">
        <w:rPr>
          <w:rFonts w:cs="v5.0.0"/>
          <w:b/>
          <w:i/>
        </w:rPr>
        <w:fldChar w:fldCharType="end"/>
      </w:r>
      <w:r w:rsidRPr="000479EC">
        <w:rPr>
          <w:rFonts w:cs="v5.0.0"/>
          <w:b/>
          <w:i/>
        </w:rPr>
        <w:t xml:space="preserve"> does not impair network coverage and performance compared to the ideal beamforming case.</w:t>
      </w:r>
    </w:p>
    <w:p w:rsidR="005D38FB" w:rsidRDefault="005D38FB" w:rsidP="00A07D1C">
      <w:pPr>
        <w:jc w:val="both"/>
        <w:rPr>
          <w:lang w:val="en-US"/>
        </w:rPr>
      </w:pPr>
      <w:r>
        <w:rPr>
          <w:lang w:val="en-US"/>
        </w:rPr>
        <w:t>We also made the following observation regarding UL and DL losses:</w:t>
      </w:r>
    </w:p>
    <w:p w:rsidR="005D38FB" w:rsidRPr="005A43BA" w:rsidRDefault="005D38FB" w:rsidP="005D38FB">
      <w:pPr>
        <w:jc w:val="both"/>
        <w:rPr>
          <w:b/>
          <w:i/>
          <w:lang w:val="en-US"/>
        </w:rPr>
      </w:pPr>
      <w:r w:rsidRPr="005A43BA">
        <w:rPr>
          <w:b/>
          <w:i/>
          <w:lang w:val="en-US"/>
        </w:rPr>
        <w:t xml:space="preserve">Observation </w:t>
      </w:r>
      <w:r>
        <w:rPr>
          <w:b/>
          <w:i/>
          <w:lang w:val="en-US"/>
        </w:rPr>
        <w:t>2</w:t>
      </w:r>
      <w:r w:rsidRPr="005A43BA">
        <w:rPr>
          <w:b/>
          <w:i/>
          <w:lang w:val="en-US"/>
        </w:rPr>
        <w:t>:</w:t>
      </w:r>
      <w:r>
        <w:rPr>
          <w:b/>
          <w:i/>
          <w:lang w:val="en-US"/>
        </w:rPr>
        <w:t xml:space="preserve"> additional attenuation needs to be included in DL budget to account for the losses which cause lower EIRP compared to the theoretical value.</w:t>
      </w:r>
    </w:p>
    <w:p w:rsidR="00C71EE3" w:rsidRDefault="005D38FB" w:rsidP="00A07D1C">
      <w:pPr>
        <w:jc w:val="both"/>
        <w:rPr>
          <w:lang w:val="en-US"/>
        </w:rPr>
      </w:pPr>
      <w:r>
        <w:rPr>
          <w:lang w:val="en-US"/>
        </w:rPr>
        <w:t>W</w:t>
      </w:r>
      <w:r w:rsidR="00831C98">
        <w:rPr>
          <w:lang w:val="en-US"/>
        </w:rPr>
        <w:t xml:space="preserve">e </w:t>
      </w:r>
      <w:r w:rsidR="00F517C1">
        <w:rPr>
          <w:lang w:val="en-US"/>
        </w:rPr>
        <w:t>compared two UE implementations corresponding to two different CDFs</w:t>
      </w:r>
      <w:r w:rsidR="0008031D">
        <w:rPr>
          <w:lang w:val="en-US"/>
        </w:rPr>
        <w:t xml:space="preserve"> representing single module (CFG1) and multi-modules (</w:t>
      </w:r>
      <w:r w:rsidR="0000197F">
        <w:rPr>
          <w:lang w:val="en-US"/>
        </w:rPr>
        <w:t>TR CFG</w:t>
      </w:r>
      <w:r w:rsidR="0008031D">
        <w:rPr>
          <w:lang w:val="en-US"/>
        </w:rPr>
        <w:t>) design</w:t>
      </w:r>
      <w:r w:rsidR="00C71EE3">
        <w:rPr>
          <w:lang w:val="en-US"/>
        </w:rPr>
        <w:t>, observing the following:</w:t>
      </w:r>
    </w:p>
    <w:p w:rsidR="00C71EE3" w:rsidRPr="005A43BA" w:rsidRDefault="00C71EE3" w:rsidP="00C71EE3">
      <w:pPr>
        <w:jc w:val="both"/>
        <w:rPr>
          <w:b/>
          <w:i/>
        </w:rPr>
      </w:pPr>
      <w:r w:rsidRPr="005A43BA">
        <w:rPr>
          <w:b/>
          <w:i/>
        </w:rPr>
        <w:t xml:space="preserve">Observation </w:t>
      </w:r>
      <w:r w:rsidR="005D38FB">
        <w:rPr>
          <w:b/>
          <w:i/>
        </w:rPr>
        <w:t>3</w:t>
      </w:r>
      <w:r w:rsidRPr="005A43BA">
        <w:rPr>
          <w:b/>
          <w:i/>
        </w:rPr>
        <w:t>:</w:t>
      </w:r>
      <w:r>
        <w:rPr>
          <w:b/>
          <w:i/>
        </w:rPr>
        <w:t xml:space="preserve"> the 20%-tile and 50%-tile droops characterizing the TR 38.803 CDF are consistent with our multi-panel CDF documented in </w:t>
      </w:r>
      <w:r w:rsidRPr="005A43BA">
        <w:rPr>
          <w:b/>
          <w:i/>
        </w:rPr>
        <w:fldChar w:fldCharType="begin"/>
      </w:r>
      <w:r w:rsidRPr="005A43BA">
        <w:rPr>
          <w:b/>
          <w:i/>
        </w:rPr>
        <w:instrText xml:space="preserve"> REF _Ref510795223 \r \h  \* MERGEFORMAT </w:instrText>
      </w:r>
      <w:r w:rsidRPr="005A43BA">
        <w:rPr>
          <w:b/>
          <w:i/>
        </w:rPr>
      </w:r>
      <w:r w:rsidRPr="005A43BA">
        <w:rPr>
          <w:b/>
          <w:i/>
        </w:rPr>
        <w:fldChar w:fldCharType="separate"/>
      </w:r>
      <w:r w:rsidRPr="005A43BA">
        <w:rPr>
          <w:b/>
          <w:i/>
        </w:rPr>
        <w:t>[7]</w:t>
      </w:r>
      <w:r w:rsidRPr="005A43BA">
        <w:rPr>
          <w:b/>
          <w:i/>
        </w:rPr>
        <w:fldChar w:fldCharType="end"/>
      </w:r>
      <w:r>
        <w:rPr>
          <w:b/>
          <w:i/>
        </w:rPr>
        <w:t>. As a consequence, we use the TR as a reference for multi-panel performance.</w:t>
      </w:r>
    </w:p>
    <w:p w:rsidR="00F517C1" w:rsidRDefault="00F517C1" w:rsidP="00A07D1C">
      <w:pPr>
        <w:jc w:val="both"/>
        <w:rPr>
          <w:lang w:val="en-US"/>
        </w:rPr>
      </w:pPr>
      <w:r>
        <w:rPr>
          <w:lang w:val="en-US"/>
        </w:rPr>
        <w:t xml:space="preserve">We analyzed several deployment scenarios </w:t>
      </w:r>
      <w:r w:rsidR="00AB2EE2">
        <w:rPr>
          <w:lang w:val="en-US"/>
        </w:rPr>
        <w:t xml:space="preserve">and results always show significant benefit </w:t>
      </w:r>
      <w:r w:rsidR="0008031D">
        <w:rPr>
          <w:lang w:val="en-US"/>
        </w:rPr>
        <w:t>when multi-module configuration is adopted. The gains were observed for the following metrics: mean throughput, 5%-tile throughput and outage. A good spherical coverage requirement improves both DL and UL directions, by improving peak EIRP and EIS.</w:t>
      </w:r>
      <w:r w:rsidR="00831C98">
        <w:rPr>
          <w:lang w:val="en-US"/>
        </w:rPr>
        <w:t xml:space="preserve"> We concluded with the following proposal</w:t>
      </w:r>
      <w:r w:rsidR="005D38FB">
        <w:rPr>
          <w:lang w:val="en-US"/>
        </w:rPr>
        <w:t>s</w:t>
      </w:r>
      <w:r w:rsidR="00831C98">
        <w:rPr>
          <w:lang w:val="en-US"/>
        </w:rPr>
        <w:t>:</w:t>
      </w:r>
    </w:p>
    <w:p w:rsidR="005D38FB" w:rsidRDefault="005D38FB" w:rsidP="005D38FB">
      <w:pPr>
        <w:jc w:val="both"/>
        <w:rPr>
          <w:b/>
          <w:i/>
          <w:lang w:val="en-US"/>
        </w:rPr>
      </w:pPr>
      <w:r w:rsidRPr="005A43BA">
        <w:rPr>
          <w:b/>
          <w:i/>
          <w:lang w:val="en-US"/>
        </w:rPr>
        <w:t>Proposal: to define 20%-tile</w:t>
      </w:r>
      <w:r w:rsidR="00D92A2B">
        <w:rPr>
          <w:b/>
          <w:i/>
          <w:lang w:val="en-US"/>
        </w:rPr>
        <w:t xml:space="preserve"> and 50%-tile</w:t>
      </w:r>
      <w:r w:rsidRPr="005A43BA">
        <w:rPr>
          <w:b/>
          <w:i/>
          <w:lang w:val="en-US"/>
        </w:rPr>
        <w:t xml:space="preserve"> point</w:t>
      </w:r>
      <w:r w:rsidR="003C2FA7">
        <w:rPr>
          <w:b/>
          <w:i/>
          <w:lang w:val="en-US"/>
        </w:rPr>
        <w:t>s</w:t>
      </w:r>
      <w:r>
        <w:rPr>
          <w:b/>
          <w:i/>
          <w:lang w:val="en-US"/>
        </w:rPr>
        <w:t xml:space="preserve"> for the spherical coverage requirement.</w:t>
      </w:r>
    </w:p>
    <w:p w:rsidR="00BE7196" w:rsidRDefault="00BE7196" w:rsidP="00BE7196">
      <w:pPr>
        <w:jc w:val="both"/>
        <w:rPr>
          <w:b/>
          <w:i/>
          <w:lang w:val="en-US"/>
        </w:rPr>
      </w:pPr>
      <w:r w:rsidRPr="00D92A2B">
        <w:rPr>
          <w:b/>
          <w:i/>
          <w:lang w:val="en-US"/>
        </w:rPr>
        <w:t xml:space="preserve">Observation 4: </w:t>
      </w:r>
      <w:r w:rsidR="00F471C3">
        <w:rPr>
          <w:b/>
          <w:i/>
          <w:lang w:val="en-US"/>
        </w:rPr>
        <w:t xml:space="preserve">from a network performance perspective, </w:t>
      </w:r>
      <w:r w:rsidRPr="00D92A2B">
        <w:rPr>
          <w:b/>
          <w:i/>
          <w:lang w:val="en-US"/>
        </w:rPr>
        <w:t>defining a spherical coverage requirement achieving both 20%-tile and 50%-tile level similar to TR 38.803 would guarantee acceptable system</w:t>
      </w:r>
      <w:r w:rsidR="00F471C3">
        <w:rPr>
          <w:b/>
          <w:i/>
          <w:lang w:val="en-US"/>
        </w:rPr>
        <w:t xml:space="preserve"> performance</w:t>
      </w:r>
      <w:r w:rsidRPr="00D92A2B">
        <w:rPr>
          <w:b/>
          <w:i/>
          <w:lang w:val="en-US"/>
        </w:rPr>
        <w:t>.</w:t>
      </w:r>
      <w:r>
        <w:rPr>
          <w:b/>
          <w:i/>
          <w:lang w:val="en-US"/>
        </w:rPr>
        <w:t xml:space="preserve"> This means that ~10dB droop at 20%-tile and ~5.5dB droop at 50%-tile would be needed to achieve the target </w:t>
      </w:r>
      <w:r w:rsidR="00206CD4">
        <w:rPr>
          <w:b/>
          <w:i/>
          <w:lang w:val="en-US"/>
        </w:rPr>
        <w:t xml:space="preserve">network </w:t>
      </w:r>
      <w:r>
        <w:rPr>
          <w:b/>
          <w:i/>
          <w:lang w:val="en-US"/>
        </w:rPr>
        <w:t>performance.</w:t>
      </w:r>
    </w:p>
    <w:p w:rsidR="00A9574F" w:rsidRDefault="00A9574F" w:rsidP="00A9574F">
      <w:pPr>
        <w:pStyle w:val="Heading1"/>
        <w:numPr>
          <w:ilvl w:val="0"/>
          <w:numId w:val="0"/>
        </w:numPr>
        <w:tabs>
          <w:tab w:val="num" w:pos="432"/>
        </w:tabs>
        <w:ind w:left="432" w:hanging="432"/>
        <w:jc w:val="both"/>
        <w:rPr>
          <w:lang w:val="en-US"/>
        </w:rPr>
      </w:pPr>
      <w:r>
        <w:rPr>
          <w:lang w:val="en-US"/>
        </w:rPr>
        <w:t>Reference</w:t>
      </w:r>
    </w:p>
    <w:p w:rsidR="00A9574F" w:rsidRPr="00A07D1C" w:rsidRDefault="00DA323D" w:rsidP="00DA323D">
      <w:pPr>
        <w:pStyle w:val="ListParagraph"/>
        <w:numPr>
          <w:ilvl w:val="0"/>
          <w:numId w:val="2"/>
        </w:numPr>
        <w:spacing w:after="160" w:line="256" w:lineRule="auto"/>
        <w:jc w:val="both"/>
        <w:textAlignment w:val="auto"/>
        <w:rPr>
          <w:lang w:val="en-US"/>
        </w:rPr>
      </w:pPr>
      <w:bookmarkStart w:id="30" w:name="_Ref503262415"/>
      <w:r w:rsidRPr="00DA323D">
        <w:t>R4-180</w:t>
      </w:r>
      <w:r w:rsidR="001937ED">
        <w:t>3275</w:t>
      </w:r>
      <w:r w:rsidR="00A9574F">
        <w:t>, “</w:t>
      </w:r>
      <w:r w:rsidR="00606843" w:rsidRPr="00606843">
        <w:t>WF on network performance analysis for spherical coverage</w:t>
      </w:r>
      <w:r w:rsidR="00A9574F">
        <w:t xml:space="preserve">”, </w:t>
      </w:r>
      <w:r w:rsidR="00A9574F" w:rsidRPr="00052E3E">
        <w:t>Samsung</w:t>
      </w:r>
      <w:r w:rsidR="00A9574F">
        <w:t>.</w:t>
      </w:r>
      <w:bookmarkEnd w:id="30"/>
    </w:p>
    <w:p w:rsidR="00EE63FC" w:rsidRPr="001F2E0B" w:rsidRDefault="001937ED" w:rsidP="001937ED">
      <w:pPr>
        <w:pStyle w:val="ListParagraph"/>
        <w:numPr>
          <w:ilvl w:val="0"/>
          <w:numId w:val="2"/>
        </w:numPr>
        <w:spacing w:after="160" w:line="256" w:lineRule="auto"/>
        <w:jc w:val="both"/>
        <w:textAlignment w:val="auto"/>
        <w:rPr>
          <w:lang w:val="en-US"/>
        </w:rPr>
      </w:pPr>
      <w:bookmarkStart w:id="31" w:name="_Ref506812131"/>
      <w:r w:rsidRPr="001937ED">
        <w:t>R4-1802828</w:t>
      </w:r>
      <w:r w:rsidR="00EE63FC">
        <w:t>, “</w:t>
      </w:r>
      <w:r w:rsidRPr="001937ED">
        <w:t>Evaluation of spherical coverage impact on NR network performance</w:t>
      </w:r>
      <w:r w:rsidR="00EE63FC">
        <w:t>”, Qualcomm Incorporated.</w:t>
      </w:r>
      <w:bookmarkEnd w:id="31"/>
    </w:p>
    <w:p w:rsidR="003B575B" w:rsidRDefault="003B575B" w:rsidP="00E538A6">
      <w:pPr>
        <w:pStyle w:val="ListParagraph"/>
        <w:numPr>
          <w:ilvl w:val="0"/>
          <w:numId w:val="2"/>
        </w:numPr>
        <w:spacing w:after="160" w:line="256" w:lineRule="auto"/>
        <w:jc w:val="both"/>
        <w:textAlignment w:val="auto"/>
        <w:rPr>
          <w:lang w:val="en-US"/>
        </w:rPr>
      </w:pPr>
      <w:bookmarkStart w:id="32" w:name="_Ref503776022"/>
      <w:r>
        <w:rPr>
          <w:lang w:val="en-US"/>
        </w:rPr>
        <w:t>R4-180</w:t>
      </w:r>
      <w:r w:rsidR="00E538A6">
        <w:rPr>
          <w:lang w:val="en-US"/>
        </w:rPr>
        <w:t>0861</w:t>
      </w:r>
      <w:r>
        <w:rPr>
          <w:lang w:val="en-US"/>
        </w:rPr>
        <w:t>, “</w:t>
      </w:r>
      <w:r w:rsidR="00E538A6" w:rsidRPr="00E538A6">
        <w:rPr>
          <w:lang w:val="en-US"/>
        </w:rPr>
        <w:t>Simulation assumptions for UE max EIRP and spherical coverage evaluation</w:t>
      </w:r>
      <w:r>
        <w:rPr>
          <w:lang w:val="en-US"/>
        </w:rPr>
        <w:t>”, Qualcomm Incorporated.</w:t>
      </w:r>
      <w:bookmarkEnd w:id="32"/>
    </w:p>
    <w:p w:rsidR="00B66E2C" w:rsidRDefault="00B66E2C" w:rsidP="00B66E2C">
      <w:pPr>
        <w:pStyle w:val="ListParagraph"/>
        <w:numPr>
          <w:ilvl w:val="0"/>
          <w:numId w:val="2"/>
        </w:numPr>
        <w:jc w:val="both"/>
        <w:rPr>
          <w:lang w:val="en-US"/>
        </w:rPr>
      </w:pPr>
      <w:bookmarkStart w:id="33" w:name="_Ref503776550"/>
      <w:r>
        <w:rPr>
          <w:lang w:val="en-US"/>
        </w:rPr>
        <w:t>3GPP TR 38.803, “</w:t>
      </w:r>
      <w:r w:rsidRPr="00EF34CA">
        <w:rPr>
          <w:lang w:val="en-US"/>
        </w:rPr>
        <w:t>Study on new radio access technology: Radio Frequency (RF) and co-existence aspects</w:t>
      </w:r>
      <w:r>
        <w:rPr>
          <w:lang w:val="en-US"/>
        </w:rPr>
        <w:t>”, V14.0.0.</w:t>
      </w:r>
      <w:bookmarkEnd w:id="33"/>
    </w:p>
    <w:p w:rsidR="00681175" w:rsidRDefault="007C5FAC" w:rsidP="005A0541">
      <w:pPr>
        <w:pStyle w:val="ListParagraph"/>
        <w:numPr>
          <w:ilvl w:val="0"/>
          <w:numId w:val="2"/>
        </w:numPr>
        <w:jc w:val="both"/>
        <w:rPr>
          <w:lang w:val="en-US"/>
        </w:rPr>
      </w:pPr>
      <w:bookmarkStart w:id="34" w:name="_Ref503533875"/>
      <w:r w:rsidRPr="00C5504C">
        <w:rPr>
          <w:lang w:val="en-US"/>
        </w:rPr>
        <w:t>“Statistical Blockage Modeling and Robustness of Beamforming in Mill</w:t>
      </w:r>
      <w:r w:rsidR="009F40A0">
        <w:rPr>
          <w:lang w:val="en-US"/>
        </w:rPr>
        <w:t>i</w:t>
      </w:r>
      <w:r w:rsidRPr="00C5504C">
        <w:rPr>
          <w:lang w:val="en-US"/>
        </w:rPr>
        <w:t>meter Wave Systems”, Vasanthan Raghavan, Lida Akhoondzadeh-Asl, Vladimir Podshivalov, Joakim Hulten,</w:t>
      </w:r>
      <w:r>
        <w:rPr>
          <w:lang w:val="en-US"/>
        </w:rPr>
        <w:t xml:space="preserve"> </w:t>
      </w:r>
      <w:r w:rsidRPr="00C5504C">
        <w:rPr>
          <w:lang w:val="en-US"/>
        </w:rPr>
        <w:t>M. Ali Tassoudji, Ozge Hizir Koymen, Ashwin Sampath, and Junyi Li</w:t>
      </w:r>
      <w:r>
        <w:rPr>
          <w:lang w:val="en-US"/>
        </w:rPr>
        <w:t xml:space="preserve">. Submitted to </w:t>
      </w:r>
      <w:r w:rsidRPr="00C5504C">
        <w:rPr>
          <w:i/>
          <w:lang w:val="en-US"/>
        </w:rPr>
        <w:t>IEEE Transactions on Antennas and Propagation</w:t>
      </w:r>
      <w:r>
        <w:rPr>
          <w:lang w:val="en-US"/>
        </w:rPr>
        <w:t xml:space="preserve">, available at: </w:t>
      </w:r>
      <w:hyperlink r:id="rId22" w:history="1">
        <w:r w:rsidRPr="004C2081">
          <w:rPr>
            <w:rStyle w:val="Hyperlink"/>
            <w:lang w:val="en-US"/>
          </w:rPr>
          <w:t>https://arxiv.org/abs/1801.03346</w:t>
        </w:r>
      </w:hyperlink>
      <w:r>
        <w:rPr>
          <w:lang w:val="en-US"/>
        </w:rPr>
        <w:t>.</w:t>
      </w:r>
      <w:bookmarkEnd w:id="34"/>
    </w:p>
    <w:p w:rsidR="00AB405D" w:rsidRPr="000479EC" w:rsidRDefault="00410190" w:rsidP="00410190">
      <w:pPr>
        <w:pStyle w:val="ListParagraph"/>
        <w:numPr>
          <w:ilvl w:val="0"/>
          <w:numId w:val="2"/>
        </w:numPr>
        <w:jc w:val="both"/>
        <w:rPr>
          <w:lang w:val="en-US"/>
        </w:rPr>
      </w:pPr>
      <w:bookmarkStart w:id="35" w:name="_Ref510604523"/>
      <w:r w:rsidRPr="000479EC">
        <w:rPr>
          <w:lang w:val="en-US"/>
        </w:rPr>
        <w:t>R4-1804589</w:t>
      </w:r>
      <w:r w:rsidR="00B3690B" w:rsidRPr="000479EC">
        <w:rPr>
          <w:lang w:val="en-US"/>
        </w:rPr>
        <w:t>, “</w:t>
      </w:r>
      <w:r w:rsidR="007E06A0" w:rsidRPr="000479EC">
        <w:t>mm</w:t>
      </w:r>
      <w:r w:rsidR="00ED5B1F">
        <w:t>W</w:t>
      </w:r>
      <w:r w:rsidR="007E06A0" w:rsidRPr="000479EC">
        <w:t xml:space="preserve"> UE EIS</w:t>
      </w:r>
      <w:r w:rsidR="00B3690B" w:rsidRPr="000479EC">
        <w:rPr>
          <w:lang w:val="en-US"/>
        </w:rPr>
        <w:t>”, Qualcomm Incorporated.</w:t>
      </w:r>
      <w:bookmarkEnd w:id="35"/>
    </w:p>
    <w:p w:rsidR="00915E7F" w:rsidRDefault="00410190" w:rsidP="00410190">
      <w:pPr>
        <w:pStyle w:val="ListParagraph"/>
        <w:numPr>
          <w:ilvl w:val="0"/>
          <w:numId w:val="2"/>
        </w:numPr>
        <w:jc w:val="both"/>
        <w:rPr>
          <w:lang w:val="en-US"/>
        </w:rPr>
      </w:pPr>
      <w:bookmarkStart w:id="36" w:name="_Ref510778530"/>
      <w:bookmarkStart w:id="37" w:name="_Ref510795223"/>
      <w:r w:rsidRPr="000479EC">
        <w:rPr>
          <w:lang w:val="en-US"/>
        </w:rPr>
        <w:t>R4-1804587</w:t>
      </w:r>
      <w:r w:rsidR="000C7247" w:rsidRPr="000479EC">
        <w:rPr>
          <w:lang w:val="en-US"/>
        </w:rPr>
        <w:t>, “On UE Spherical Coverage With Glass Packaging”, Qualcomm Incorporated</w:t>
      </w:r>
      <w:bookmarkEnd w:id="36"/>
      <w:r w:rsidR="00516FE0" w:rsidRPr="000479EC">
        <w:rPr>
          <w:lang w:val="en-US"/>
        </w:rPr>
        <w:t>.</w:t>
      </w:r>
      <w:bookmarkEnd w:id="37"/>
    </w:p>
    <w:p w:rsidR="003F2658" w:rsidRPr="00953D62" w:rsidRDefault="003F2658" w:rsidP="003F2658">
      <w:pPr>
        <w:pStyle w:val="ListParagraph"/>
        <w:numPr>
          <w:ilvl w:val="0"/>
          <w:numId w:val="2"/>
        </w:numPr>
        <w:jc w:val="both"/>
        <w:rPr>
          <w:lang w:val="en-US"/>
        </w:rPr>
      </w:pPr>
      <w:bookmarkStart w:id="38" w:name="_Ref511317251"/>
      <w:r w:rsidRPr="003F2658">
        <w:rPr>
          <w:lang w:val="en-US"/>
        </w:rPr>
        <w:t>R4-1805381</w:t>
      </w:r>
      <w:r>
        <w:rPr>
          <w:lang w:val="en-US"/>
        </w:rPr>
        <w:t>, “</w:t>
      </w:r>
      <w:r w:rsidRPr="003F2658">
        <w:rPr>
          <w:lang w:val="en-US"/>
        </w:rPr>
        <w:t>Network Performance Analysis for Spherical Coverage</w:t>
      </w:r>
      <w:r>
        <w:rPr>
          <w:lang w:val="en-US"/>
        </w:rPr>
        <w:t xml:space="preserve">”, </w:t>
      </w:r>
      <w:r w:rsidRPr="003F2658">
        <w:rPr>
          <w:lang w:val="en-US"/>
        </w:rPr>
        <w:t>Apple Inc., Intel Corporation</w:t>
      </w:r>
      <w:r>
        <w:rPr>
          <w:lang w:val="en-US"/>
        </w:rPr>
        <w:t>.</w:t>
      </w:r>
      <w:bookmarkEnd w:id="38"/>
    </w:p>
    <w:sectPr w:rsidR="003F2658" w:rsidRPr="00953D62" w:rsidSect="007D2899">
      <w:footerReference w:type="even" r:id="rId23"/>
      <w:footerReference w:type="defaul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1FD" w:rsidRDefault="001831FD">
      <w:r>
        <w:separator/>
      </w:r>
    </w:p>
  </w:endnote>
  <w:endnote w:type="continuationSeparator" w:id="0">
    <w:p w:rsidR="001831FD" w:rsidRDefault="0018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7BF" w:rsidRDefault="001727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727BF" w:rsidRDefault="001727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7BF" w:rsidRDefault="001727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1727BF" w:rsidRDefault="001727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1FD" w:rsidRDefault="001831FD">
      <w:r>
        <w:separator/>
      </w:r>
    </w:p>
  </w:footnote>
  <w:footnote w:type="continuationSeparator" w:id="0">
    <w:p w:rsidR="001831FD" w:rsidRDefault="00183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8"/>
  </w:num>
  <w:num w:numId="4">
    <w:abstractNumId w:val="21"/>
  </w:num>
  <w:num w:numId="5">
    <w:abstractNumId w:val="12"/>
  </w:num>
  <w:num w:numId="6">
    <w:abstractNumId w:val="3"/>
  </w:num>
  <w:num w:numId="7">
    <w:abstractNumId w:val="0"/>
  </w:num>
  <w:num w:numId="8">
    <w:abstractNumId w:val="16"/>
  </w:num>
  <w:num w:numId="9">
    <w:abstractNumId w:val="5"/>
  </w:num>
  <w:num w:numId="10">
    <w:abstractNumId w:val="11"/>
  </w:num>
  <w:num w:numId="11">
    <w:abstractNumId w:val="23"/>
  </w:num>
  <w:num w:numId="12">
    <w:abstractNumId w:val="19"/>
  </w:num>
  <w:num w:numId="13">
    <w:abstractNumId w:val="8"/>
  </w:num>
  <w:num w:numId="14">
    <w:abstractNumId w:val="6"/>
  </w:num>
  <w:num w:numId="15">
    <w:abstractNumId w:val="4"/>
  </w:num>
  <w:num w:numId="16">
    <w:abstractNumId w:val="2"/>
  </w:num>
  <w:num w:numId="17">
    <w:abstractNumId w:val="10"/>
  </w:num>
  <w:num w:numId="18">
    <w:abstractNumId w:val="22"/>
  </w:num>
  <w:num w:numId="19">
    <w:abstractNumId w:val="1"/>
  </w:num>
  <w:num w:numId="20">
    <w:abstractNumId w:val="20"/>
  </w:num>
  <w:num w:numId="21">
    <w:abstractNumId w:val="17"/>
  </w:num>
  <w:num w:numId="22">
    <w:abstractNumId w:val="13"/>
  </w:num>
  <w:num w:numId="23">
    <w:abstractNumId w:val="7"/>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E5A"/>
    <w:rsid w:val="00062F52"/>
    <w:rsid w:val="00063000"/>
    <w:rsid w:val="000631D9"/>
    <w:rsid w:val="000635C0"/>
    <w:rsid w:val="0006427B"/>
    <w:rsid w:val="000642D1"/>
    <w:rsid w:val="0006440F"/>
    <w:rsid w:val="00064870"/>
    <w:rsid w:val="00065A12"/>
    <w:rsid w:val="00066520"/>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BE4"/>
    <w:rsid w:val="0008544F"/>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4327"/>
    <w:rsid w:val="000C4A55"/>
    <w:rsid w:val="000C4A8B"/>
    <w:rsid w:val="000C5396"/>
    <w:rsid w:val="000C5EE5"/>
    <w:rsid w:val="000C655C"/>
    <w:rsid w:val="000C6650"/>
    <w:rsid w:val="000C6CBF"/>
    <w:rsid w:val="000C7247"/>
    <w:rsid w:val="000C73B4"/>
    <w:rsid w:val="000C7712"/>
    <w:rsid w:val="000C7DB2"/>
    <w:rsid w:val="000C7E14"/>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134E"/>
    <w:rsid w:val="001D1447"/>
    <w:rsid w:val="001D1841"/>
    <w:rsid w:val="001D1E9B"/>
    <w:rsid w:val="001D2401"/>
    <w:rsid w:val="001D2645"/>
    <w:rsid w:val="001D2D14"/>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27ED5"/>
    <w:rsid w:val="0023097A"/>
    <w:rsid w:val="00230C94"/>
    <w:rsid w:val="00230C9B"/>
    <w:rsid w:val="00230EB7"/>
    <w:rsid w:val="00230EC6"/>
    <w:rsid w:val="002318D1"/>
    <w:rsid w:val="00231913"/>
    <w:rsid w:val="002342B0"/>
    <w:rsid w:val="00234C5F"/>
    <w:rsid w:val="0023565D"/>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105E"/>
    <w:rsid w:val="002834C9"/>
    <w:rsid w:val="00283AAC"/>
    <w:rsid w:val="0028415F"/>
    <w:rsid w:val="0028417E"/>
    <w:rsid w:val="00284391"/>
    <w:rsid w:val="00285070"/>
    <w:rsid w:val="00285405"/>
    <w:rsid w:val="002854F2"/>
    <w:rsid w:val="0028581F"/>
    <w:rsid w:val="002865FA"/>
    <w:rsid w:val="002869C0"/>
    <w:rsid w:val="00290240"/>
    <w:rsid w:val="00290FB2"/>
    <w:rsid w:val="002921C4"/>
    <w:rsid w:val="0029221C"/>
    <w:rsid w:val="002932EC"/>
    <w:rsid w:val="00293CD0"/>
    <w:rsid w:val="00294088"/>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144A"/>
    <w:rsid w:val="002C1E15"/>
    <w:rsid w:val="002C27CE"/>
    <w:rsid w:val="002C3188"/>
    <w:rsid w:val="002C3C5A"/>
    <w:rsid w:val="002C40ED"/>
    <w:rsid w:val="002C4E58"/>
    <w:rsid w:val="002C4F68"/>
    <w:rsid w:val="002C5195"/>
    <w:rsid w:val="002C55BD"/>
    <w:rsid w:val="002C7B2B"/>
    <w:rsid w:val="002C7C8C"/>
    <w:rsid w:val="002C7CC0"/>
    <w:rsid w:val="002D087B"/>
    <w:rsid w:val="002D0BCE"/>
    <w:rsid w:val="002D0C99"/>
    <w:rsid w:val="002D1DB1"/>
    <w:rsid w:val="002D2099"/>
    <w:rsid w:val="002D2365"/>
    <w:rsid w:val="002D282D"/>
    <w:rsid w:val="002D3403"/>
    <w:rsid w:val="002D4919"/>
    <w:rsid w:val="002D4A80"/>
    <w:rsid w:val="002D4D1D"/>
    <w:rsid w:val="002D58A5"/>
    <w:rsid w:val="002D5DDD"/>
    <w:rsid w:val="002D606A"/>
    <w:rsid w:val="002D639D"/>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268"/>
    <w:rsid w:val="002E72B6"/>
    <w:rsid w:val="002E7660"/>
    <w:rsid w:val="002E7851"/>
    <w:rsid w:val="002E7B67"/>
    <w:rsid w:val="002E7B92"/>
    <w:rsid w:val="002F037C"/>
    <w:rsid w:val="002F09F6"/>
    <w:rsid w:val="002F0C60"/>
    <w:rsid w:val="002F1595"/>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71B"/>
    <w:rsid w:val="00304EC9"/>
    <w:rsid w:val="00304EE3"/>
    <w:rsid w:val="003054E0"/>
    <w:rsid w:val="00305E70"/>
    <w:rsid w:val="00306313"/>
    <w:rsid w:val="0030648A"/>
    <w:rsid w:val="00306818"/>
    <w:rsid w:val="0031040B"/>
    <w:rsid w:val="00310840"/>
    <w:rsid w:val="00310C99"/>
    <w:rsid w:val="003119CD"/>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3482"/>
    <w:rsid w:val="0036351D"/>
    <w:rsid w:val="003637F6"/>
    <w:rsid w:val="0036383F"/>
    <w:rsid w:val="00363A2D"/>
    <w:rsid w:val="00364132"/>
    <w:rsid w:val="00364AA0"/>
    <w:rsid w:val="00364D22"/>
    <w:rsid w:val="0036548D"/>
    <w:rsid w:val="00365D22"/>
    <w:rsid w:val="003662FF"/>
    <w:rsid w:val="003667C5"/>
    <w:rsid w:val="0036684F"/>
    <w:rsid w:val="00367EDE"/>
    <w:rsid w:val="00370CDE"/>
    <w:rsid w:val="003710AC"/>
    <w:rsid w:val="003713BC"/>
    <w:rsid w:val="003715FB"/>
    <w:rsid w:val="003720AD"/>
    <w:rsid w:val="00372B4A"/>
    <w:rsid w:val="003733B8"/>
    <w:rsid w:val="00373574"/>
    <w:rsid w:val="003736A5"/>
    <w:rsid w:val="003739D7"/>
    <w:rsid w:val="00373BF7"/>
    <w:rsid w:val="003771B4"/>
    <w:rsid w:val="00377C74"/>
    <w:rsid w:val="00377F1B"/>
    <w:rsid w:val="003800D8"/>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1042"/>
    <w:rsid w:val="003C1867"/>
    <w:rsid w:val="003C1A64"/>
    <w:rsid w:val="003C2936"/>
    <w:rsid w:val="003C2F7F"/>
    <w:rsid w:val="003C2FA7"/>
    <w:rsid w:val="003C3414"/>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F072F"/>
    <w:rsid w:val="003F0A53"/>
    <w:rsid w:val="003F0F90"/>
    <w:rsid w:val="003F1282"/>
    <w:rsid w:val="003F1508"/>
    <w:rsid w:val="003F17A2"/>
    <w:rsid w:val="003F17DE"/>
    <w:rsid w:val="003F1985"/>
    <w:rsid w:val="003F1A0E"/>
    <w:rsid w:val="003F1CE1"/>
    <w:rsid w:val="003F2658"/>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4BA"/>
    <w:rsid w:val="004076C8"/>
    <w:rsid w:val="004079A4"/>
    <w:rsid w:val="00407A40"/>
    <w:rsid w:val="00407D2B"/>
    <w:rsid w:val="00410190"/>
    <w:rsid w:val="004105DB"/>
    <w:rsid w:val="0041167D"/>
    <w:rsid w:val="00411DE9"/>
    <w:rsid w:val="00413026"/>
    <w:rsid w:val="00414253"/>
    <w:rsid w:val="004148FF"/>
    <w:rsid w:val="00414BD6"/>
    <w:rsid w:val="00415201"/>
    <w:rsid w:val="0041540E"/>
    <w:rsid w:val="00416B73"/>
    <w:rsid w:val="00416EE8"/>
    <w:rsid w:val="00417600"/>
    <w:rsid w:val="00417A99"/>
    <w:rsid w:val="00420863"/>
    <w:rsid w:val="0042110B"/>
    <w:rsid w:val="0042128B"/>
    <w:rsid w:val="00422361"/>
    <w:rsid w:val="00422655"/>
    <w:rsid w:val="00422E0A"/>
    <w:rsid w:val="0042335E"/>
    <w:rsid w:val="0042352E"/>
    <w:rsid w:val="00423673"/>
    <w:rsid w:val="00423C15"/>
    <w:rsid w:val="00423FE3"/>
    <w:rsid w:val="00427022"/>
    <w:rsid w:val="00427FFA"/>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6A7"/>
    <w:rsid w:val="00497852"/>
    <w:rsid w:val="00497A03"/>
    <w:rsid w:val="00497DF8"/>
    <w:rsid w:val="004A0292"/>
    <w:rsid w:val="004A038E"/>
    <w:rsid w:val="004A187C"/>
    <w:rsid w:val="004A204A"/>
    <w:rsid w:val="004A282A"/>
    <w:rsid w:val="004A28E2"/>
    <w:rsid w:val="004A2B6E"/>
    <w:rsid w:val="004A38DE"/>
    <w:rsid w:val="004A4273"/>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9C5"/>
    <w:rsid w:val="004E4CC0"/>
    <w:rsid w:val="004E5AFE"/>
    <w:rsid w:val="004E5B05"/>
    <w:rsid w:val="004E5CB3"/>
    <w:rsid w:val="004E6705"/>
    <w:rsid w:val="004E6967"/>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52FC"/>
    <w:rsid w:val="00515806"/>
    <w:rsid w:val="00515953"/>
    <w:rsid w:val="005167E8"/>
    <w:rsid w:val="00516FE0"/>
    <w:rsid w:val="00517B05"/>
    <w:rsid w:val="00521297"/>
    <w:rsid w:val="0052151E"/>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E13"/>
    <w:rsid w:val="0053650A"/>
    <w:rsid w:val="00536833"/>
    <w:rsid w:val="00537260"/>
    <w:rsid w:val="00537F2E"/>
    <w:rsid w:val="0054008E"/>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92B"/>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E7"/>
    <w:rsid w:val="005E25A4"/>
    <w:rsid w:val="005E2803"/>
    <w:rsid w:val="005E2BEB"/>
    <w:rsid w:val="005E3A2A"/>
    <w:rsid w:val="005E3C68"/>
    <w:rsid w:val="005E3E2E"/>
    <w:rsid w:val="005E3F98"/>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3617"/>
    <w:rsid w:val="0060381F"/>
    <w:rsid w:val="0060416C"/>
    <w:rsid w:val="006046B6"/>
    <w:rsid w:val="006049FD"/>
    <w:rsid w:val="006059EE"/>
    <w:rsid w:val="006064AB"/>
    <w:rsid w:val="00606843"/>
    <w:rsid w:val="00607638"/>
    <w:rsid w:val="00607C85"/>
    <w:rsid w:val="006102C5"/>
    <w:rsid w:val="006105CF"/>
    <w:rsid w:val="0061093F"/>
    <w:rsid w:val="00610E2B"/>
    <w:rsid w:val="00611D5B"/>
    <w:rsid w:val="00611E72"/>
    <w:rsid w:val="00612119"/>
    <w:rsid w:val="006123A2"/>
    <w:rsid w:val="00613713"/>
    <w:rsid w:val="00614FB7"/>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6C7A"/>
    <w:rsid w:val="00796FBD"/>
    <w:rsid w:val="0079721E"/>
    <w:rsid w:val="00797409"/>
    <w:rsid w:val="0079758B"/>
    <w:rsid w:val="007A065B"/>
    <w:rsid w:val="007A0BD1"/>
    <w:rsid w:val="007A0FA2"/>
    <w:rsid w:val="007A2462"/>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4E56"/>
    <w:rsid w:val="007C54FC"/>
    <w:rsid w:val="007C599A"/>
    <w:rsid w:val="007C5A4E"/>
    <w:rsid w:val="007C5FAC"/>
    <w:rsid w:val="007C669D"/>
    <w:rsid w:val="007C6872"/>
    <w:rsid w:val="007C6E00"/>
    <w:rsid w:val="007C72A8"/>
    <w:rsid w:val="007C753F"/>
    <w:rsid w:val="007C7837"/>
    <w:rsid w:val="007D04AF"/>
    <w:rsid w:val="007D0E83"/>
    <w:rsid w:val="007D2289"/>
    <w:rsid w:val="007D2802"/>
    <w:rsid w:val="007D2899"/>
    <w:rsid w:val="007D2CD1"/>
    <w:rsid w:val="007D3C53"/>
    <w:rsid w:val="007D3E8D"/>
    <w:rsid w:val="007D47CD"/>
    <w:rsid w:val="007D4CA9"/>
    <w:rsid w:val="007D6388"/>
    <w:rsid w:val="007D6CE6"/>
    <w:rsid w:val="007E06A0"/>
    <w:rsid w:val="007E1193"/>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FA"/>
    <w:rsid w:val="008167D2"/>
    <w:rsid w:val="008167F9"/>
    <w:rsid w:val="008169E8"/>
    <w:rsid w:val="00816A67"/>
    <w:rsid w:val="00817528"/>
    <w:rsid w:val="00817E33"/>
    <w:rsid w:val="008209AC"/>
    <w:rsid w:val="008209B8"/>
    <w:rsid w:val="00821285"/>
    <w:rsid w:val="00821900"/>
    <w:rsid w:val="00822528"/>
    <w:rsid w:val="0082276A"/>
    <w:rsid w:val="008238B8"/>
    <w:rsid w:val="0082472F"/>
    <w:rsid w:val="00824D2A"/>
    <w:rsid w:val="00824DFD"/>
    <w:rsid w:val="00825B8F"/>
    <w:rsid w:val="00825E0F"/>
    <w:rsid w:val="008261E8"/>
    <w:rsid w:val="0082785D"/>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E07"/>
    <w:rsid w:val="008708AF"/>
    <w:rsid w:val="00870EAF"/>
    <w:rsid w:val="00871CE9"/>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876"/>
    <w:rsid w:val="00891E17"/>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341"/>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ADA"/>
    <w:rsid w:val="008E2C29"/>
    <w:rsid w:val="008E3533"/>
    <w:rsid w:val="008E3800"/>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11040"/>
    <w:rsid w:val="00912095"/>
    <w:rsid w:val="0091254B"/>
    <w:rsid w:val="00912569"/>
    <w:rsid w:val="009136DA"/>
    <w:rsid w:val="00913FF8"/>
    <w:rsid w:val="0091417E"/>
    <w:rsid w:val="00914799"/>
    <w:rsid w:val="00914A3A"/>
    <w:rsid w:val="00914C2B"/>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6C3"/>
    <w:rsid w:val="009339EC"/>
    <w:rsid w:val="00933E4D"/>
    <w:rsid w:val="009340B4"/>
    <w:rsid w:val="0093430D"/>
    <w:rsid w:val="00934FC0"/>
    <w:rsid w:val="00935285"/>
    <w:rsid w:val="009355B9"/>
    <w:rsid w:val="00936241"/>
    <w:rsid w:val="009367F4"/>
    <w:rsid w:val="00936A90"/>
    <w:rsid w:val="009371A8"/>
    <w:rsid w:val="009371E8"/>
    <w:rsid w:val="0093763B"/>
    <w:rsid w:val="00937D9C"/>
    <w:rsid w:val="00940474"/>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61C"/>
    <w:rsid w:val="00992913"/>
    <w:rsid w:val="00992EE5"/>
    <w:rsid w:val="00993E0F"/>
    <w:rsid w:val="00993E14"/>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18E"/>
    <w:rsid w:val="009D5745"/>
    <w:rsid w:val="009D5DA2"/>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F0EEE"/>
    <w:rsid w:val="009F1E72"/>
    <w:rsid w:val="009F230A"/>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4C97"/>
    <w:rsid w:val="00A3606F"/>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EAF"/>
    <w:rsid w:val="00A94611"/>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40E"/>
    <w:rsid w:val="00AB617A"/>
    <w:rsid w:val="00AB6943"/>
    <w:rsid w:val="00AB6F4A"/>
    <w:rsid w:val="00AC033F"/>
    <w:rsid w:val="00AC1638"/>
    <w:rsid w:val="00AC1807"/>
    <w:rsid w:val="00AC1D9E"/>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6EB"/>
    <w:rsid w:val="00AF6CB1"/>
    <w:rsid w:val="00AF7309"/>
    <w:rsid w:val="00AF7A7E"/>
    <w:rsid w:val="00B00983"/>
    <w:rsid w:val="00B00A8C"/>
    <w:rsid w:val="00B01117"/>
    <w:rsid w:val="00B01816"/>
    <w:rsid w:val="00B01C49"/>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D05"/>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E0"/>
    <w:rsid w:val="00B432A5"/>
    <w:rsid w:val="00B434BB"/>
    <w:rsid w:val="00B446A1"/>
    <w:rsid w:val="00B45791"/>
    <w:rsid w:val="00B46047"/>
    <w:rsid w:val="00B467AD"/>
    <w:rsid w:val="00B47880"/>
    <w:rsid w:val="00B47F07"/>
    <w:rsid w:val="00B5061D"/>
    <w:rsid w:val="00B509FF"/>
    <w:rsid w:val="00B5194E"/>
    <w:rsid w:val="00B5226E"/>
    <w:rsid w:val="00B522BF"/>
    <w:rsid w:val="00B524AC"/>
    <w:rsid w:val="00B5308B"/>
    <w:rsid w:val="00B53267"/>
    <w:rsid w:val="00B53DBF"/>
    <w:rsid w:val="00B5471A"/>
    <w:rsid w:val="00B54954"/>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844"/>
    <w:rsid w:val="00B73D51"/>
    <w:rsid w:val="00B73FC3"/>
    <w:rsid w:val="00B7441F"/>
    <w:rsid w:val="00B7443C"/>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548"/>
    <w:rsid w:val="00BB697E"/>
    <w:rsid w:val="00BB6BE8"/>
    <w:rsid w:val="00BB6E3B"/>
    <w:rsid w:val="00BB7F63"/>
    <w:rsid w:val="00BC0C83"/>
    <w:rsid w:val="00BC0EB0"/>
    <w:rsid w:val="00BC1209"/>
    <w:rsid w:val="00BC2E2D"/>
    <w:rsid w:val="00BC38AD"/>
    <w:rsid w:val="00BC4194"/>
    <w:rsid w:val="00BC4326"/>
    <w:rsid w:val="00BC54C4"/>
    <w:rsid w:val="00BC5646"/>
    <w:rsid w:val="00BC56BA"/>
    <w:rsid w:val="00BC5B9A"/>
    <w:rsid w:val="00BC5BA0"/>
    <w:rsid w:val="00BC76A1"/>
    <w:rsid w:val="00BC7C48"/>
    <w:rsid w:val="00BC7EA8"/>
    <w:rsid w:val="00BD00A4"/>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036"/>
    <w:rsid w:val="00BE7196"/>
    <w:rsid w:val="00BE7BB5"/>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553B"/>
    <w:rsid w:val="00C05F13"/>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F3"/>
    <w:rsid w:val="00C234BE"/>
    <w:rsid w:val="00C23545"/>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21BA"/>
    <w:rsid w:val="00C63FEE"/>
    <w:rsid w:val="00C6441F"/>
    <w:rsid w:val="00C64668"/>
    <w:rsid w:val="00C6466B"/>
    <w:rsid w:val="00C64915"/>
    <w:rsid w:val="00C64D52"/>
    <w:rsid w:val="00C65088"/>
    <w:rsid w:val="00C65181"/>
    <w:rsid w:val="00C65556"/>
    <w:rsid w:val="00C656FA"/>
    <w:rsid w:val="00C662C9"/>
    <w:rsid w:val="00C67146"/>
    <w:rsid w:val="00C67A10"/>
    <w:rsid w:val="00C67B98"/>
    <w:rsid w:val="00C70762"/>
    <w:rsid w:val="00C70B60"/>
    <w:rsid w:val="00C71EE3"/>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3FBF"/>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5AFC"/>
    <w:rsid w:val="00CA62B2"/>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CC5"/>
    <w:rsid w:val="00CC5000"/>
    <w:rsid w:val="00CC6037"/>
    <w:rsid w:val="00CC63D5"/>
    <w:rsid w:val="00CC6A47"/>
    <w:rsid w:val="00CC72C8"/>
    <w:rsid w:val="00CD002C"/>
    <w:rsid w:val="00CD0774"/>
    <w:rsid w:val="00CD0B68"/>
    <w:rsid w:val="00CD0C1B"/>
    <w:rsid w:val="00CD0EF0"/>
    <w:rsid w:val="00CD1158"/>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6312"/>
    <w:rsid w:val="00D26419"/>
    <w:rsid w:val="00D26BA2"/>
    <w:rsid w:val="00D273DE"/>
    <w:rsid w:val="00D31226"/>
    <w:rsid w:val="00D31FEA"/>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D25"/>
    <w:rsid w:val="00D50269"/>
    <w:rsid w:val="00D504AE"/>
    <w:rsid w:val="00D513BC"/>
    <w:rsid w:val="00D51D44"/>
    <w:rsid w:val="00D52539"/>
    <w:rsid w:val="00D5271B"/>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828"/>
    <w:rsid w:val="00D61BD4"/>
    <w:rsid w:val="00D62F32"/>
    <w:rsid w:val="00D63339"/>
    <w:rsid w:val="00D63479"/>
    <w:rsid w:val="00D65150"/>
    <w:rsid w:val="00D6534E"/>
    <w:rsid w:val="00D65603"/>
    <w:rsid w:val="00D658AE"/>
    <w:rsid w:val="00D658D6"/>
    <w:rsid w:val="00D66558"/>
    <w:rsid w:val="00D6664A"/>
    <w:rsid w:val="00D67B3A"/>
    <w:rsid w:val="00D70B1E"/>
    <w:rsid w:val="00D70FF7"/>
    <w:rsid w:val="00D717A6"/>
    <w:rsid w:val="00D72F93"/>
    <w:rsid w:val="00D73006"/>
    <w:rsid w:val="00D7304F"/>
    <w:rsid w:val="00D733F3"/>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80CB0"/>
    <w:rsid w:val="00D80E7F"/>
    <w:rsid w:val="00D80E9D"/>
    <w:rsid w:val="00D81484"/>
    <w:rsid w:val="00D8157D"/>
    <w:rsid w:val="00D8172B"/>
    <w:rsid w:val="00D8201F"/>
    <w:rsid w:val="00D82627"/>
    <w:rsid w:val="00D82889"/>
    <w:rsid w:val="00D82BD9"/>
    <w:rsid w:val="00D82D41"/>
    <w:rsid w:val="00D8324C"/>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2462"/>
    <w:rsid w:val="00DB2742"/>
    <w:rsid w:val="00DB313B"/>
    <w:rsid w:val="00DB3172"/>
    <w:rsid w:val="00DB3520"/>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525"/>
    <w:rsid w:val="00EA06F1"/>
    <w:rsid w:val="00EA1781"/>
    <w:rsid w:val="00EA22B3"/>
    <w:rsid w:val="00EA30B3"/>
    <w:rsid w:val="00EA4A7A"/>
    <w:rsid w:val="00EA544B"/>
    <w:rsid w:val="00EA556B"/>
    <w:rsid w:val="00EA5BD9"/>
    <w:rsid w:val="00EA6358"/>
    <w:rsid w:val="00EA6788"/>
    <w:rsid w:val="00EA6E0C"/>
    <w:rsid w:val="00EA769D"/>
    <w:rsid w:val="00EB0725"/>
    <w:rsid w:val="00EB073A"/>
    <w:rsid w:val="00EB07AF"/>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41AB"/>
    <w:rsid w:val="00F6437F"/>
    <w:rsid w:val="00F644CB"/>
    <w:rsid w:val="00F65E3C"/>
    <w:rsid w:val="00F65E8D"/>
    <w:rsid w:val="00F66838"/>
    <w:rsid w:val="00F66CB9"/>
    <w:rsid w:val="00F671F0"/>
    <w:rsid w:val="00F67F1F"/>
    <w:rsid w:val="00F7012E"/>
    <w:rsid w:val="00F70695"/>
    <w:rsid w:val="00F70D7E"/>
    <w:rsid w:val="00F711A2"/>
    <w:rsid w:val="00F734A5"/>
    <w:rsid w:val="00F739C8"/>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7244"/>
    <w:rsid w:val="00FC76E9"/>
    <w:rsid w:val="00FC7FB3"/>
    <w:rsid w:val="00FD0152"/>
    <w:rsid w:val="00FD09D0"/>
    <w:rsid w:val="00FD0AAD"/>
    <w:rsid w:val="00FD1E17"/>
    <w:rsid w:val="00FD2719"/>
    <w:rsid w:val="00FD33DB"/>
    <w:rsid w:val="00FD3549"/>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https://arxiv.org/abs/1801.033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BD25DCB-2FC4-419E-AD1E-CC558FFD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10</Pages>
  <Words>3796</Words>
  <Characters>21638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25384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4</cp:revision>
  <cp:lastPrinted>2018-04-06T13:41:00Z</cp:lastPrinted>
  <dcterms:created xsi:type="dcterms:W3CDTF">2018-04-15T23:46:00Z</dcterms:created>
  <dcterms:modified xsi:type="dcterms:W3CDTF">2018-04-18T09:05:00Z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